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自贡市纪委监委廉政教育中心</w:t>
      </w:r>
    </w:p>
    <w:p>
      <w:pPr>
        <w:widowControl/>
        <w:spacing w:line="58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2023</w:t>
      </w:r>
      <w:r>
        <w:rPr>
          <w:rFonts w:hint="eastAsia" w:ascii="方正小标宋简体" w:eastAsia="方正小标宋简体"/>
          <w:sz w:val="44"/>
          <w:szCs w:val="44"/>
        </w:rPr>
        <w:t>年度</w:t>
      </w:r>
      <w:r>
        <w:rPr>
          <w:rFonts w:hint="eastAsia" w:ascii="方正小标宋简体" w:eastAsia="方正小标宋简体"/>
          <w:sz w:val="44"/>
          <w:szCs w:val="44"/>
          <w:lang w:val="en-US" w:eastAsia="zh-CN"/>
        </w:rPr>
        <w:t>单位</w:t>
      </w:r>
      <w:r>
        <w:rPr>
          <w:rFonts w:hint="eastAsia" w:ascii="方正小标宋简体" w:eastAsia="方正小标宋简体"/>
          <w:sz w:val="44"/>
          <w:szCs w:val="44"/>
        </w:rPr>
        <w:t>决算编制的说明</w:t>
      </w:r>
    </w:p>
    <w:p>
      <w:pPr>
        <w:widowControl/>
        <w:jc w:val="center"/>
        <w:rPr>
          <w:rFonts w:ascii="仿宋_GB2312"/>
          <w:sz w:val="28"/>
          <w:szCs w:val="28"/>
        </w:rPr>
      </w:pPr>
    </w:p>
    <w:p>
      <w:pPr>
        <w:widowControl/>
        <w:jc w:val="center"/>
        <w:rPr>
          <w:rFonts w:ascii="黑体" w:hAnsi="黑体" w:eastAsia="黑体"/>
          <w:color w:val="000000"/>
          <w:sz w:val="48"/>
          <w:szCs w:val="48"/>
        </w:rPr>
      </w:pPr>
      <w:r>
        <w:rPr>
          <w:rFonts w:hint="eastAsia" w:ascii="黑体" w:hAnsi="黑体" w:eastAsia="黑体"/>
          <w:color w:val="000000"/>
          <w:sz w:val="44"/>
          <w:szCs w:val="44"/>
        </w:rPr>
        <w:t>目</w:t>
      </w:r>
      <w:r>
        <w:rPr>
          <w:rFonts w:hint="eastAsia" w:ascii="黑体" w:hAnsi="黑体" w:eastAsia="黑体"/>
          <w:color w:val="000000"/>
          <w:sz w:val="44"/>
          <w:szCs w:val="44"/>
          <w:lang w:val="en-US" w:eastAsia="zh-CN"/>
        </w:rPr>
        <w:t xml:space="preserve"> </w:t>
      </w:r>
      <w:r>
        <w:rPr>
          <w:rFonts w:hint="eastAsia" w:ascii="黑体" w:hAnsi="黑体" w:eastAsia="黑体"/>
          <w:color w:val="000000"/>
          <w:sz w:val="44"/>
          <w:szCs w:val="44"/>
        </w:rPr>
        <w:t>录</w:t>
      </w:r>
    </w:p>
    <w:p>
      <w:pPr>
        <w:pStyle w:val="9"/>
        <w:spacing w:line="500" w:lineRule="exact"/>
        <w:jc w:val="center"/>
        <w:rPr>
          <w:rFonts w:hint="eastAsia" w:ascii="仿宋_GB2312" w:eastAsia="仿宋_GB2312"/>
          <w:i w:val="0"/>
          <w:color w:val="auto"/>
          <w:sz w:val="32"/>
        </w:rPr>
      </w:pPr>
      <w:r>
        <w:rPr>
          <w:rFonts w:hint="eastAsia" w:ascii="仿宋_GB2312" w:eastAsia="仿宋_GB2312"/>
          <w:i w:val="0"/>
          <w:color w:val="auto"/>
          <w:sz w:val="32"/>
        </w:rPr>
        <w:t>公开时间：202</w:t>
      </w:r>
      <w:r>
        <w:rPr>
          <w:rFonts w:hint="eastAsia" w:ascii="仿宋_GB2312" w:eastAsia="仿宋_GB2312"/>
          <w:i w:val="0"/>
          <w:color w:val="auto"/>
          <w:sz w:val="32"/>
          <w:lang w:val="en-US" w:eastAsia="zh-CN"/>
        </w:rPr>
        <w:t>4</w:t>
      </w:r>
      <w:r>
        <w:rPr>
          <w:rFonts w:hint="eastAsia" w:ascii="仿宋_GB2312" w:eastAsia="仿宋_GB2312"/>
          <w:i w:val="0"/>
          <w:color w:val="auto"/>
          <w:sz w:val="32"/>
        </w:rPr>
        <w:t>年</w:t>
      </w:r>
      <w:r>
        <w:rPr>
          <w:rFonts w:hint="eastAsia" w:ascii="仿宋_GB2312" w:eastAsia="仿宋_GB2312"/>
          <w:i w:val="0"/>
          <w:color w:val="auto"/>
          <w:sz w:val="32"/>
          <w:lang w:val="en-US" w:eastAsia="zh-CN"/>
        </w:rPr>
        <w:t>10</w:t>
      </w:r>
      <w:r>
        <w:rPr>
          <w:rFonts w:hint="eastAsia" w:ascii="仿宋_GB2312" w:eastAsia="仿宋_GB2312"/>
          <w:i w:val="0"/>
          <w:color w:val="auto"/>
          <w:sz w:val="32"/>
        </w:rPr>
        <w:t>月</w:t>
      </w:r>
      <w:r>
        <w:rPr>
          <w:rFonts w:hint="eastAsia" w:ascii="仿宋_GB2312" w:eastAsia="仿宋_GB2312"/>
          <w:i w:val="0"/>
          <w:color w:val="auto"/>
          <w:sz w:val="32"/>
          <w:lang w:val="en-US" w:eastAsia="zh-CN"/>
        </w:rPr>
        <w:t>18</w:t>
      </w:r>
      <w:r>
        <w:rPr>
          <w:rFonts w:hint="eastAsia" w:ascii="仿宋_GB2312" w:eastAsia="仿宋_GB2312"/>
          <w:i w:val="0"/>
          <w:color w:val="auto"/>
          <w:sz w:val="32"/>
        </w:rPr>
        <w:t>日</w:t>
      </w:r>
    </w:p>
    <w:p>
      <w:pPr>
        <w:pStyle w:val="9"/>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TOC \o "1-2" \h \z \u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_Toc3028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 xml:space="preserve">第一部分 </w:t>
      </w:r>
      <w:r>
        <w:rPr>
          <w:rFonts w:hint="eastAsia" w:ascii="仿宋_GB2312" w:hAnsi="仿宋_GB2312" w:eastAsia="仿宋_GB2312" w:cs="仿宋_GB2312"/>
          <w:b w:val="0"/>
          <w:bCs w:val="0"/>
          <w:i w:val="0"/>
          <w:iCs w:val="0"/>
          <w:sz w:val="32"/>
          <w:szCs w:val="32"/>
          <w:lang w:val="en-US" w:eastAsia="zh-CN"/>
        </w:rPr>
        <w:t>单位</w:t>
      </w:r>
      <w:r>
        <w:rPr>
          <w:rFonts w:hint="eastAsia" w:ascii="仿宋_GB2312" w:hAnsi="仿宋_GB2312" w:eastAsia="仿宋_GB2312" w:cs="仿宋_GB2312"/>
          <w:b w:val="0"/>
          <w:bCs w:val="0"/>
          <w:i w:val="0"/>
          <w:iCs w:val="0"/>
          <w:sz w:val="32"/>
          <w:szCs w:val="32"/>
        </w:rPr>
        <w:t>概况</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_Toc3028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_Toc13157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lang w:eastAsia="zh-CN"/>
        </w:rPr>
        <w:t>一、主要职责</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_Toc13157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_Toc1989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lang w:val="en-US" w:eastAsia="zh-CN"/>
        </w:rPr>
        <w:t>二、机构设置</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_Toc1989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9"/>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_Toc13662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 xml:space="preserve">第二部分 </w:t>
      </w:r>
      <w:r>
        <w:rPr>
          <w:rFonts w:hint="eastAsia" w:ascii="仿宋_GB2312" w:hAnsi="仿宋_GB2312" w:eastAsia="仿宋_GB2312" w:cs="仿宋_GB2312"/>
          <w:b w:val="0"/>
          <w:bCs w:val="0"/>
          <w:i w:val="0"/>
          <w:iCs w:val="0"/>
          <w:sz w:val="32"/>
          <w:szCs w:val="32"/>
          <w:lang w:eastAsia="zh-CN"/>
        </w:rPr>
        <w:t>2023</w:t>
      </w:r>
      <w:r>
        <w:rPr>
          <w:rFonts w:hint="eastAsia" w:ascii="仿宋_GB2312" w:hAnsi="仿宋_GB2312" w:eastAsia="仿宋_GB2312" w:cs="仿宋_GB2312"/>
          <w:b w:val="0"/>
          <w:bCs w:val="0"/>
          <w:i w:val="0"/>
          <w:iCs w:val="0"/>
          <w:sz w:val="32"/>
          <w:szCs w:val="32"/>
        </w:rPr>
        <w:t>年度</w:t>
      </w:r>
      <w:r>
        <w:rPr>
          <w:rFonts w:hint="eastAsia" w:ascii="仿宋_GB2312" w:hAnsi="仿宋_GB2312" w:eastAsia="仿宋_GB2312" w:cs="仿宋_GB2312"/>
          <w:b w:val="0"/>
          <w:bCs w:val="0"/>
          <w:i w:val="0"/>
          <w:iCs w:val="0"/>
          <w:sz w:val="32"/>
          <w:szCs w:val="32"/>
          <w:lang w:val="en-US" w:eastAsia="zh-CN"/>
        </w:rPr>
        <w:t>单位</w:t>
      </w:r>
      <w:r>
        <w:rPr>
          <w:rFonts w:hint="eastAsia" w:ascii="仿宋_GB2312" w:hAnsi="仿宋_GB2312" w:eastAsia="仿宋_GB2312" w:cs="仿宋_GB2312"/>
          <w:b w:val="0"/>
          <w:bCs w:val="0"/>
          <w:i w:val="0"/>
          <w:iCs w:val="0"/>
          <w:sz w:val="32"/>
          <w:szCs w:val="32"/>
        </w:rPr>
        <w:t>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_Toc13662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_Toc18582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一、 收入支出决算总体情况说明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_Toc18582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_Toc9811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二、 收入决算情况说明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_Toc9811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_Toc17567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三、 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_Toc17567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_Toc2589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四、财政拨款收入支出决算总体情况说明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_Toc2589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_Toc17328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五、一般公共预算财政拨款支出决算情况说明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_Toc17328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4</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_Toc30529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六、一般公共预算财政拨款基本支出决算情况说明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_Toc30529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_Toc98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七、“三公”经费财政拨款支出决算情况说明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_Toc98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_Toc27509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八、政府性基金预算支出决算情况说明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_Toc27509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8</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_Toc269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九、 国有资本经营预算支出决算情况说明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_Toc269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8</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_Toc15678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十、其他重要事项的情况说明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_Toc15678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8</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9"/>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_Toc19818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第三部分 名词解释</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_Toc19818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10</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9"/>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_Toc23450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第四部分 附件</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_Toc23450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12</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9"/>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_Toc3613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第五部分 附表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_Toc3613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lang w:val="en-US" w:eastAsia="zh-CN"/>
        </w:rPr>
        <w:t>5</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_Toc21455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一、收入支出决算总表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_Toc21455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15</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_Toc19902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二、收入决算表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_Toc19902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15</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_Toc5842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三、支出决算表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_Toc5842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15</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_Toc3877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四、财政拨款收入支出决算总表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_Toc3877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15</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_Toc750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五、财政拨款支出决算明细表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_Toc750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15</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bookmarkStart w:id="91" w:name="_GoBack"/>
      <w:bookmarkEnd w:id="91"/>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_Toc19194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六、一般公共预算财政拨款支出决算表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_Toc19194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15</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_Toc7054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七、一般公共预算财政拨款支出决算明细表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_Toc7054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15</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_Toc14041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八、一般公共预算财政拨款基本支出决算表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_Toc14041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15</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_Toc26706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九、一般公共预算财政拨款项目支出决算表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_Toc26706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15</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_Toc2700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十、政府性基金预算财政拨款收入支出决算表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_Toc2700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15</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_Toc32218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十一、国有资本经营预算</w:t>
      </w:r>
      <w:r>
        <w:rPr>
          <w:rFonts w:hint="eastAsia" w:ascii="仿宋_GB2312" w:hAnsi="仿宋_GB2312" w:eastAsia="仿宋_GB2312" w:cs="仿宋_GB2312"/>
          <w:b w:val="0"/>
          <w:bCs w:val="0"/>
          <w:i w:val="0"/>
          <w:iCs w:val="0"/>
          <w:sz w:val="32"/>
          <w:szCs w:val="32"/>
          <w:highlight w:val="none"/>
          <w:lang w:eastAsia="zh-CN"/>
        </w:rPr>
        <w:t>财政拨款收入</w:t>
      </w:r>
      <w:r>
        <w:rPr>
          <w:rFonts w:hint="eastAsia" w:ascii="仿宋_GB2312" w:hAnsi="仿宋_GB2312" w:eastAsia="仿宋_GB2312" w:cs="仿宋_GB2312"/>
          <w:b w:val="0"/>
          <w:bCs w:val="0"/>
          <w:i w:val="0"/>
          <w:iCs w:val="0"/>
          <w:sz w:val="32"/>
          <w:szCs w:val="32"/>
          <w:highlight w:val="none"/>
        </w:rPr>
        <w:t>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_Toc32218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15</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_Toc23596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十二、</w:t>
      </w:r>
      <w:r>
        <w:rPr>
          <w:rFonts w:hint="eastAsia" w:ascii="仿宋_GB2312" w:hAnsi="仿宋_GB2312" w:eastAsia="仿宋_GB2312" w:cs="仿宋_GB2312"/>
          <w:b w:val="0"/>
          <w:bCs w:val="0"/>
          <w:i w:val="0"/>
          <w:iCs w:val="0"/>
          <w:sz w:val="32"/>
          <w:szCs w:val="32"/>
          <w:highlight w:val="none"/>
          <w:lang w:eastAsia="zh-CN"/>
        </w:rPr>
        <w:t>国有资本经营预算财政拨款支出决算表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_Toc23596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15</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_Toc1521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十三、</w:t>
      </w:r>
      <w:r>
        <w:rPr>
          <w:rFonts w:hint="eastAsia" w:ascii="仿宋_GB2312" w:hAnsi="仿宋_GB2312" w:eastAsia="仿宋_GB2312" w:cs="仿宋_GB2312"/>
          <w:b w:val="0"/>
          <w:bCs w:val="0"/>
          <w:i w:val="0"/>
          <w:iCs w:val="0"/>
          <w:sz w:val="32"/>
          <w:szCs w:val="32"/>
          <w:highlight w:val="none"/>
          <w:lang w:eastAsia="zh-CN"/>
        </w:rPr>
        <w:t>财政拨款“三公”经费支出决算表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_Toc1521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15</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2400" w:firstLineChars="750"/>
        <w:textAlignment w:val="auto"/>
        <w:rPr>
          <w:rFonts w:hint="eastAsia" w:ascii="仿宋_GB2312" w:hAnsi="仿宋"/>
          <w:color w:val="FF0000"/>
          <w:szCs w:val="32"/>
        </w:rPr>
      </w:pPr>
      <w:r>
        <w:rPr>
          <w:rFonts w:hint="eastAsia" w:ascii="仿宋_GB2312" w:hAnsi="仿宋_GB2312" w:eastAsia="仿宋_GB2312" w:cs="仿宋_GB2312"/>
          <w:b w:val="0"/>
          <w:bCs w:val="0"/>
          <w:i w:val="0"/>
          <w:iCs w:val="0"/>
          <w:caps/>
          <w:sz w:val="32"/>
          <w:szCs w:val="32"/>
        </w:rPr>
        <w:fldChar w:fldCharType="end"/>
      </w:r>
    </w:p>
    <w:p>
      <w:pPr>
        <w:pStyle w:val="3"/>
        <w:jc w:val="center"/>
        <w:rPr>
          <w:rFonts w:hint="eastAsia" w:ascii="黑体" w:hAnsi="黑体" w:eastAsia="黑体"/>
          <w:b w:val="0"/>
        </w:rPr>
        <w:sectPr>
          <w:pgSz w:w="11906" w:h="16838"/>
          <w:pgMar w:top="1440" w:right="1800" w:bottom="1440" w:left="1800" w:header="851" w:footer="992" w:gutter="0"/>
          <w:pgNumType w:fmt="decimal"/>
          <w:cols w:space="425" w:num="1"/>
          <w:docGrid w:type="lines" w:linePitch="312" w:charSpace="0"/>
        </w:sectPr>
      </w:pPr>
    </w:p>
    <w:p>
      <w:pPr>
        <w:pStyle w:val="3"/>
        <w:jc w:val="center"/>
        <w:rPr>
          <w:rStyle w:val="17"/>
          <w:rFonts w:ascii="黑体" w:hAnsi="黑体" w:eastAsia="黑体"/>
          <w:b/>
          <w:bCs w:val="0"/>
        </w:rPr>
      </w:pPr>
      <w:bookmarkStart w:id="0" w:name="_Toc3028"/>
      <w:r>
        <w:rPr>
          <w:rFonts w:hint="eastAsia" w:ascii="黑体" w:hAnsi="黑体" w:eastAsia="黑体"/>
          <w:b w:val="0"/>
        </w:rPr>
        <w:t>第一部分</w:t>
      </w:r>
      <w:r>
        <w:rPr>
          <w:rFonts w:ascii="黑体" w:hAnsi="黑体" w:eastAsia="黑体"/>
          <w:b w:val="0"/>
        </w:rPr>
        <w:t xml:space="preserve"> </w:t>
      </w:r>
      <w:r>
        <w:rPr>
          <w:rStyle w:val="17"/>
          <w:rFonts w:hint="eastAsia" w:ascii="黑体" w:hAnsi="黑体" w:eastAsia="黑体"/>
          <w:b w:val="0"/>
          <w:bCs w:val="0"/>
          <w:lang w:val="en-US" w:eastAsia="zh-CN"/>
        </w:rPr>
        <w:t>单位</w:t>
      </w:r>
      <w:r>
        <w:rPr>
          <w:rStyle w:val="17"/>
          <w:rFonts w:hint="eastAsia" w:ascii="黑体" w:hAnsi="黑体" w:eastAsia="黑体"/>
          <w:b w:val="0"/>
          <w:bCs w:val="0"/>
        </w:rPr>
        <w:t>概况</w:t>
      </w:r>
      <w:bookmarkEnd w:id="0"/>
    </w:p>
    <w:p>
      <w:pPr>
        <w:widowControl/>
        <w:jc w:val="left"/>
        <w:rPr>
          <w:rFonts w:ascii="黑体" w:eastAsia="黑体"/>
          <w:color w:val="000000"/>
          <w:sz w:val="32"/>
          <w:szCs w:val="32"/>
        </w:rPr>
      </w:pPr>
    </w:p>
    <w:p>
      <w:pPr>
        <w:pStyle w:val="4"/>
        <w:numPr>
          <w:ilvl w:val="0"/>
          <w:numId w:val="0"/>
        </w:numPr>
        <w:rPr>
          <w:rStyle w:val="21"/>
          <w:rFonts w:hint="eastAsia" w:ascii="黑体" w:hAnsi="黑体" w:eastAsia="黑体"/>
          <w:b w:val="0"/>
          <w:bCs w:val="0"/>
          <w:color w:val="auto"/>
          <w:highlight w:val="none"/>
          <w:lang w:eastAsia="zh-CN"/>
        </w:rPr>
      </w:pPr>
      <w:bookmarkStart w:id="1" w:name="_Toc13157"/>
      <w:bookmarkStart w:id="2" w:name="_Toc15396600"/>
      <w:bookmarkStart w:id="3" w:name="_Toc15377197"/>
      <w:r>
        <w:rPr>
          <w:rStyle w:val="21"/>
          <w:rFonts w:hint="eastAsia" w:ascii="黑体" w:hAnsi="黑体" w:eastAsia="黑体"/>
          <w:b w:val="0"/>
          <w:bCs w:val="0"/>
          <w:color w:val="auto"/>
          <w:highlight w:val="none"/>
          <w:lang w:eastAsia="zh-CN"/>
        </w:rPr>
        <w:t>一、主要职责</w:t>
      </w:r>
      <w:bookmarkEnd w:id="1"/>
    </w:p>
    <w:p>
      <w:pPr>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自贡市纪委监委廉政教育中心（自贡市监委留置中心）承担党风廉政建设和反腐败教育服务保障工作；承担干部教育培训基地的管理服务工作；组织实施对象收置、日常管理、安全保卫。</w:t>
      </w:r>
    </w:p>
    <w:p>
      <w:pPr>
        <w:pStyle w:val="4"/>
        <w:numPr>
          <w:ilvl w:val="0"/>
          <w:numId w:val="0"/>
        </w:numPr>
        <w:rPr>
          <w:rFonts w:hint="eastAsia" w:ascii="黑体" w:hAnsi="黑体" w:eastAsia="黑体"/>
          <w:b w:val="0"/>
          <w:color w:val="auto"/>
          <w:highlight w:val="none"/>
        </w:rPr>
      </w:pPr>
      <w:bookmarkStart w:id="4" w:name="_Toc1989"/>
      <w:r>
        <w:rPr>
          <w:rFonts w:hint="eastAsia" w:ascii="黑体" w:hAnsi="黑体" w:eastAsia="黑体"/>
          <w:b w:val="0"/>
          <w:color w:val="auto"/>
          <w:highlight w:val="none"/>
          <w:lang w:val="en-US" w:eastAsia="zh-CN"/>
        </w:rPr>
        <w:t>二、</w:t>
      </w:r>
      <w:bookmarkEnd w:id="2"/>
      <w:bookmarkEnd w:id="3"/>
      <w:r>
        <w:rPr>
          <w:rFonts w:hint="eastAsia" w:ascii="黑体" w:hAnsi="黑体" w:eastAsia="黑体"/>
          <w:b w:val="0"/>
          <w:color w:val="auto"/>
          <w:highlight w:val="none"/>
          <w:lang w:val="en-US" w:eastAsia="zh-CN"/>
        </w:rPr>
        <w:t>机构设置</w:t>
      </w:r>
      <w:bookmarkEnd w:id="4"/>
    </w:p>
    <w:p>
      <w:pPr>
        <w:spacing w:line="6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自贡市纪委监委廉政教育中心属于中共自贡市纪律检查委员会下属二级预算单位，无内设机构。</w:t>
      </w:r>
    </w:p>
    <w:p>
      <w:pPr>
        <w:widowControl/>
        <w:jc w:val="left"/>
        <w:rPr>
          <w:rFonts w:ascii="仿宋" w:hAnsi="仿宋" w:eastAsia="仿宋"/>
          <w:color w:val="000000"/>
          <w:kern w:val="0"/>
          <w:sz w:val="32"/>
          <w:szCs w:val="32"/>
        </w:rPr>
      </w:pPr>
    </w:p>
    <w:p>
      <w:pPr>
        <w:rPr>
          <w:rFonts w:hint="eastAsia" w:ascii="黑体" w:hAnsi="黑体" w:eastAsia="黑体"/>
          <w:b w:val="0"/>
          <w:color w:val="000000"/>
        </w:rPr>
      </w:pPr>
      <w:bookmarkStart w:id="5" w:name="_Toc15377204"/>
      <w:bookmarkStart w:id="6" w:name="_Toc15396602"/>
      <w:r>
        <w:rPr>
          <w:rFonts w:hint="eastAsia" w:ascii="黑体" w:hAnsi="黑体" w:eastAsia="黑体"/>
          <w:b w:val="0"/>
          <w:color w:val="000000"/>
        </w:rPr>
        <w:br w:type="page"/>
      </w:r>
    </w:p>
    <w:p>
      <w:pPr>
        <w:pStyle w:val="3"/>
        <w:ind w:right="440"/>
        <w:jc w:val="right"/>
        <w:rPr>
          <w:rStyle w:val="17"/>
          <w:rFonts w:ascii="黑体" w:hAnsi="黑体" w:eastAsia="黑体"/>
          <w:b w:val="0"/>
          <w:bCs w:val="0"/>
        </w:rPr>
      </w:pPr>
      <w:bookmarkStart w:id="7" w:name="_Toc13662"/>
      <w:r>
        <w:rPr>
          <w:rFonts w:hint="eastAsia" w:ascii="黑体" w:hAnsi="黑体" w:eastAsia="黑体"/>
          <w:b w:val="0"/>
          <w:color w:val="000000"/>
        </w:rPr>
        <w:t>第二部分</w:t>
      </w:r>
      <w:r>
        <w:rPr>
          <w:rFonts w:ascii="黑体" w:hAnsi="黑体" w:eastAsia="黑体"/>
          <w:color w:val="000000"/>
        </w:rPr>
        <w:t xml:space="preserve"> </w:t>
      </w:r>
      <w:r>
        <w:rPr>
          <w:rStyle w:val="17"/>
          <w:rFonts w:hint="eastAsia" w:ascii="黑体" w:hAnsi="黑体" w:eastAsia="黑体"/>
          <w:b w:val="0"/>
          <w:bCs w:val="0"/>
          <w:lang w:eastAsia="zh-CN"/>
        </w:rPr>
        <w:t>2023</w:t>
      </w:r>
      <w:r>
        <w:rPr>
          <w:rStyle w:val="17"/>
          <w:rFonts w:hint="eastAsia" w:ascii="黑体" w:hAnsi="黑体" w:eastAsia="黑体"/>
          <w:b w:val="0"/>
          <w:bCs w:val="0"/>
        </w:rPr>
        <w:t>年度</w:t>
      </w:r>
      <w:r>
        <w:rPr>
          <w:rStyle w:val="17"/>
          <w:rFonts w:hint="eastAsia" w:ascii="黑体" w:hAnsi="黑体" w:eastAsia="黑体"/>
          <w:b w:val="0"/>
          <w:bCs w:val="0"/>
          <w:lang w:val="en-US" w:eastAsia="zh-CN"/>
        </w:rPr>
        <w:t>单位</w:t>
      </w:r>
      <w:r>
        <w:rPr>
          <w:rStyle w:val="17"/>
          <w:rFonts w:hint="eastAsia" w:ascii="黑体" w:hAnsi="黑体" w:eastAsia="黑体"/>
          <w:b w:val="0"/>
          <w:bCs w:val="0"/>
        </w:rPr>
        <w:t>决算情况说明</w:t>
      </w:r>
      <w:bookmarkEnd w:id="5"/>
      <w:bookmarkEnd w:id="6"/>
      <w:bookmarkEnd w:id="7"/>
    </w:p>
    <w:p/>
    <w:p>
      <w:pPr>
        <w:pStyle w:val="19"/>
        <w:numPr>
          <w:ilvl w:val="0"/>
          <w:numId w:val="1"/>
        </w:numPr>
        <w:spacing w:line="600" w:lineRule="exact"/>
        <w:ind w:firstLineChars="0"/>
        <w:outlineLvl w:val="1"/>
        <w:rPr>
          <w:rFonts w:hint="eastAsia" w:ascii="仿宋_GB2312" w:hAnsi="仿宋_GB2312" w:cs="仿宋_GB2312"/>
          <w:color w:val="auto"/>
          <w:sz w:val="32"/>
          <w:szCs w:val="32"/>
          <w:highlight w:val="none"/>
          <w:lang w:eastAsia="zh-CN"/>
        </w:rPr>
      </w:pPr>
      <w:bookmarkStart w:id="8" w:name="_Toc15396603"/>
      <w:bookmarkStart w:id="9" w:name="_Toc18582"/>
      <w:bookmarkStart w:id="10" w:name="_Toc15377205"/>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8"/>
      <w:bookmarkEnd w:id="9"/>
      <w:bookmarkEnd w:id="10"/>
    </w:p>
    <w:p>
      <w:pPr>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年度收、支总计800.70万元。与</w:t>
      </w:r>
      <w:r>
        <w:rPr>
          <w:rFonts w:hint="eastAsia" w:ascii="仿宋_GB2312" w:hAnsi="仿宋_GB2312" w:cs="仿宋_GB2312"/>
          <w:color w:val="auto"/>
          <w:sz w:val="32"/>
          <w:szCs w:val="32"/>
          <w:highlight w:val="none"/>
          <w:lang w:eastAsia="zh-CN"/>
        </w:rPr>
        <w:t>2022</w:t>
      </w:r>
      <w:r>
        <w:rPr>
          <w:rFonts w:hint="eastAsia" w:ascii="仿宋_GB2312" w:hAnsi="仿宋_GB2312" w:eastAsia="仿宋_GB2312" w:cs="仿宋_GB2312"/>
          <w:color w:val="auto"/>
          <w:sz w:val="32"/>
          <w:szCs w:val="32"/>
          <w:highlight w:val="none"/>
        </w:rPr>
        <w:t>年相比，收、支总计各增加</w:t>
      </w:r>
      <w:r>
        <w:rPr>
          <w:rFonts w:hint="eastAsia" w:ascii="仿宋_GB2312" w:hAnsi="仿宋_GB2312" w:cs="仿宋_GB2312"/>
          <w:color w:val="auto"/>
          <w:sz w:val="32"/>
          <w:szCs w:val="32"/>
          <w:highlight w:val="none"/>
          <w:lang w:val="en-US" w:eastAsia="zh-CN"/>
        </w:rPr>
        <w:t>149.75</w:t>
      </w:r>
      <w:r>
        <w:rPr>
          <w:rFonts w:hint="eastAsia" w:ascii="仿宋_GB2312" w:hAnsi="仿宋_GB2312" w:eastAsia="仿宋_GB2312" w:cs="仿宋_GB2312"/>
          <w:color w:val="auto"/>
          <w:sz w:val="32"/>
          <w:szCs w:val="32"/>
          <w:highlight w:val="none"/>
        </w:rPr>
        <w:t>万元，增长</w:t>
      </w:r>
      <w:r>
        <w:rPr>
          <w:rFonts w:hint="eastAsia" w:ascii="仿宋_GB2312" w:hAnsi="仿宋_GB2312" w:cs="仿宋_GB2312"/>
          <w:color w:val="auto"/>
          <w:sz w:val="32"/>
          <w:szCs w:val="32"/>
          <w:highlight w:val="none"/>
          <w:lang w:val="en-US" w:eastAsia="zh-CN"/>
        </w:rPr>
        <w:t>23.00</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cs="仿宋_GB2312"/>
          <w:color w:val="auto"/>
          <w:sz w:val="32"/>
          <w:szCs w:val="32"/>
          <w:highlight w:val="none"/>
          <w:lang w:eastAsia="zh-CN"/>
        </w:rPr>
        <w:t>留置对象增加，运转经费增加</w:t>
      </w:r>
      <w:r>
        <w:rPr>
          <w:rFonts w:hint="eastAsia" w:ascii="仿宋_GB2312" w:hAnsi="仿宋_GB2312" w:eastAsia="仿宋_GB2312" w:cs="仿宋_GB2312"/>
          <w:color w:val="auto"/>
          <w:sz w:val="32"/>
          <w:szCs w:val="32"/>
          <w:highlight w:val="none"/>
          <w:lang w:eastAsia="zh-CN"/>
        </w:rPr>
        <w:t>。</w:t>
      </w:r>
    </w:p>
    <w:p>
      <w:pPr>
        <w:spacing w:line="600" w:lineRule="exact"/>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（图1：收、支决算总计变动情况图）（柱状图）</w:t>
      </w:r>
    </w:p>
    <w:p>
      <w:pPr>
        <w:pStyle w:val="2"/>
        <w:rPr>
          <w:rFonts w:hint="eastAsia"/>
          <w:lang w:eastAsia="zh-CN"/>
        </w:rPr>
      </w:pPr>
      <w:r>
        <w:rPr>
          <w:rFonts w:hint="eastAsia" w:ascii="仿宋" w:hAnsi="仿宋" w:eastAsia="仿宋"/>
          <w:color w:val="000000"/>
          <w:szCs w:val="32"/>
          <w:lang w:val="en-US" w:eastAsia="zh-CN"/>
        </w:rPr>
        <w:t xml:space="preserve">        </w:t>
      </w:r>
      <w:r>
        <w:rPr>
          <w:rFonts w:hint="eastAsia" w:ascii="仿宋" w:hAnsi="仿宋" w:eastAsia="仿宋"/>
          <w:color w:val="000000"/>
          <w:szCs w:val="32"/>
          <w:lang w:eastAsia="zh-CN"/>
        </w:rPr>
        <w:drawing>
          <wp:inline distT="0" distB="0" distL="114300" distR="114300">
            <wp:extent cx="3841750" cy="2242185"/>
            <wp:effectExtent l="4445" t="5080" r="20955" b="196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2"/>
      </w:pPr>
    </w:p>
    <w:p>
      <w:pPr>
        <w:pStyle w:val="19"/>
        <w:numPr>
          <w:ilvl w:val="0"/>
          <w:numId w:val="1"/>
        </w:numPr>
        <w:spacing w:line="600" w:lineRule="exact"/>
        <w:ind w:firstLineChars="0"/>
        <w:outlineLvl w:val="1"/>
        <w:rPr>
          <w:rStyle w:val="18"/>
          <w:rFonts w:ascii="黑体" w:hAnsi="黑体" w:eastAsia="黑体"/>
          <w:b w:val="0"/>
        </w:rPr>
      </w:pPr>
      <w:bookmarkStart w:id="11" w:name="_Toc9811"/>
      <w:bookmarkStart w:id="12" w:name="_Toc804272208"/>
      <w:bookmarkStart w:id="13" w:name="_Toc15396604"/>
      <w:bookmarkStart w:id="14" w:name="_Toc15377206"/>
      <w:r>
        <w:rPr>
          <w:rFonts w:hint="eastAsia" w:ascii="黑体" w:hAnsi="黑体" w:eastAsia="黑体"/>
          <w:color w:val="000000"/>
          <w:sz w:val="32"/>
          <w:szCs w:val="32"/>
        </w:rPr>
        <w:t>收</w:t>
      </w:r>
      <w:r>
        <w:rPr>
          <w:rStyle w:val="18"/>
          <w:rFonts w:hint="eastAsia" w:ascii="黑体" w:hAnsi="黑体" w:eastAsia="黑体"/>
          <w:b w:val="0"/>
        </w:rPr>
        <w:t>入决算情况说明</w:t>
      </w:r>
      <w:bookmarkEnd w:id="11"/>
      <w:bookmarkEnd w:id="12"/>
      <w:bookmarkEnd w:id="13"/>
      <w:bookmarkEnd w:id="14"/>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年本年收入合计</w:t>
      </w:r>
      <w:r>
        <w:rPr>
          <w:rFonts w:hint="eastAsia" w:ascii="仿宋_GB2312" w:hAnsi="仿宋_GB2312" w:cs="仿宋_GB2312"/>
          <w:color w:val="auto"/>
          <w:sz w:val="32"/>
          <w:szCs w:val="32"/>
          <w:highlight w:val="none"/>
          <w:lang w:val="en-US" w:eastAsia="zh-CN"/>
        </w:rPr>
        <w:t>800.70</w:t>
      </w:r>
      <w:r>
        <w:rPr>
          <w:rFonts w:hint="eastAsia" w:ascii="仿宋_GB2312" w:hAnsi="仿宋_GB2312" w:eastAsia="仿宋_GB2312" w:cs="仿宋_GB2312"/>
          <w:color w:val="auto"/>
          <w:sz w:val="32"/>
          <w:szCs w:val="32"/>
          <w:highlight w:val="none"/>
        </w:rPr>
        <w:t>万元，其中：一般公共预算财政拨款收入</w:t>
      </w:r>
      <w:r>
        <w:rPr>
          <w:rFonts w:hint="eastAsia" w:ascii="仿宋_GB2312" w:hAnsi="仿宋_GB2312" w:cs="仿宋_GB2312"/>
          <w:color w:val="auto"/>
          <w:sz w:val="32"/>
          <w:szCs w:val="32"/>
          <w:highlight w:val="none"/>
          <w:lang w:val="en-US" w:eastAsia="zh-CN"/>
        </w:rPr>
        <w:t>800.70</w:t>
      </w:r>
      <w:r>
        <w:rPr>
          <w:rFonts w:hint="eastAsia" w:ascii="仿宋_GB2312" w:hAnsi="仿宋_GB2312" w:cs="仿宋_GB2312"/>
          <w:color w:val="auto"/>
          <w:sz w:val="32"/>
          <w:szCs w:val="32"/>
          <w:highlight w:val="none"/>
          <w:lang w:eastAsia="zh-CN"/>
        </w:rPr>
        <w:t>万元</w:t>
      </w:r>
      <w:r>
        <w:rPr>
          <w:rFonts w:hint="eastAsia" w:ascii="仿宋_GB2312" w:hAnsi="仿宋_GB2312" w:eastAsia="仿宋_GB2312" w:cs="仿宋_GB2312"/>
          <w:color w:val="auto"/>
          <w:sz w:val="32"/>
          <w:szCs w:val="32"/>
          <w:highlight w:val="none"/>
        </w:rPr>
        <w:t>，占</w:t>
      </w:r>
      <w:r>
        <w:rPr>
          <w:rFonts w:hint="eastAsia" w:ascii="仿宋_GB2312" w:hAnsi="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%；政府性基金预算财政拨款收入</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%；上级补助收入</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%；事业收入</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%；经营收入</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%；附属单位上缴收入</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%；其他收入</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p>
    <w:p>
      <w:pPr>
        <w:spacing w:line="600" w:lineRule="exact"/>
        <w:outlineLvl w:val="1"/>
        <w:rPr>
          <w:rFonts w:ascii="仿宋" w:hAnsi="仿宋" w:eastAsia="仿宋"/>
          <w:color w:val="000000"/>
          <w:sz w:val="32"/>
          <w:szCs w:val="32"/>
        </w:rPr>
      </w:pPr>
    </w:p>
    <w:p>
      <w:pPr>
        <w:spacing w:line="600" w:lineRule="exact"/>
        <w:ind w:firstLine="640" w:firstLineChars="20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（图2：收入决算结构图）（饼状图）</w:t>
      </w:r>
    </w:p>
    <w:p>
      <w:pPr>
        <w:pStyle w:val="2"/>
        <w:rPr>
          <w:rFonts w:hint="eastAsia" w:eastAsia="仿宋"/>
          <w:lang w:eastAsia="zh-CN"/>
        </w:rPr>
      </w:pPr>
      <w:r>
        <w:rPr>
          <w:rFonts w:hint="eastAsia" w:eastAsia="仿宋"/>
          <w:lang w:val="en-US" w:eastAsia="zh-CN"/>
        </w:rPr>
        <w:t xml:space="preserve">              </w:t>
      </w:r>
      <w:r>
        <w:rPr>
          <w:rFonts w:hint="eastAsia" w:eastAsia="仿宋"/>
          <w:lang w:eastAsia="zh-CN"/>
        </w:rPr>
        <w:drawing>
          <wp:inline distT="0" distB="0" distL="114300" distR="114300">
            <wp:extent cx="3577590" cy="1965325"/>
            <wp:effectExtent l="4445" t="4445" r="18415" b="1143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rPr>
          <w:rFonts w:hint="eastAsia" w:eastAsia="仿宋"/>
          <w:lang w:eastAsia="zh-CN"/>
        </w:rPr>
      </w:pPr>
    </w:p>
    <w:p>
      <w:pPr>
        <w:pStyle w:val="19"/>
        <w:numPr>
          <w:ilvl w:val="0"/>
          <w:numId w:val="1"/>
        </w:numPr>
        <w:spacing w:line="600" w:lineRule="exact"/>
        <w:ind w:firstLineChars="0"/>
        <w:outlineLvl w:val="1"/>
        <w:rPr>
          <w:rStyle w:val="18"/>
          <w:rFonts w:ascii="黑体" w:hAnsi="黑体" w:eastAsia="黑体"/>
          <w:b w:val="0"/>
        </w:rPr>
      </w:pPr>
      <w:bookmarkStart w:id="15" w:name="_Toc15396605"/>
      <w:bookmarkStart w:id="16" w:name="_Toc609704471"/>
      <w:bookmarkStart w:id="17" w:name="_Toc17567"/>
      <w:bookmarkStart w:id="18" w:name="_Toc15377207"/>
      <w:r>
        <w:rPr>
          <w:rFonts w:hint="eastAsia" w:ascii="黑体" w:hAnsi="黑体" w:eastAsia="黑体"/>
          <w:color w:val="000000"/>
          <w:sz w:val="32"/>
          <w:szCs w:val="32"/>
        </w:rPr>
        <w:t>支</w:t>
      </w:r>
      <w:r>
        <w:rPr>
          <w:rStyle w:val="18"/>
          <w:rFonts w:hint="eastAsia" w:ascii="黑体" w:hAnsi="黑体" w:eastAsia="黑体"/>
          <w:b w:val="0"/>
        </w:rPr>
        <w:t>出决算情况说明</w:t>
      </w:r>
      <w:bookmarkEnd w:id="15"/>
      <w:bookmarkEnd w:id="16"/>
      <w:bookmarkEnd w:id="17"/>
      <w:bookmarkEnd w:id="18"/>
    </w:p>
    <w:p>
      <w:pPr>
        <w:spacing w:line="600" w:lineRule="exact"/>
        <w:ind w:firstLine="640" w:firstLineChars="200"/>
        <w:outlineLvl w:val="9"/>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年本年支出合计</w:t>
      </w:r>
      <w:r>
        <w:rPr>
          <w:rFonts w:hint="eastAsia" w:ascii="仿宋_GB2312" w:hAnsi="仿宋_GB2312" w:cs="仿宋_GB2312"/>
          <w:color w:val="auto"/>
          <w:sz w:val="32"/>
          <w:szCs w:val="32"/>
          <w:highlight w:val="none"/>
          <w:lang w:val="en-US" w:eastAsia="zh-CN"/>
        </w:rPr>
        <w:t>800.70</w:t>
      </w:r>
      <w:r>
        <w:rPr>
          <w:rFonts w:hint="eastAsia" w:ascii="仿宋_GB2312" w:hAnsi="仿宋_GB2312" w:eastAsia="仿宋_GB2312" w:cs="仿宋_GB2312"/>
          <w:color w:val="auto"/>
          <w:sz w:val="32"/>
          <w:szCs w:val="32"/>
          <w:highlight w:val="none"/>
        </w:rPr>
        <w:t>万元，其中：基本支出</w:t>
      </w:r>
      <w:r>
        <w:rPr>
          <w:rFonts w:hint="eastAsia" w:ascii="仿宋_GB2312" w:hAnsi="仿宋_GB2312" w:cs="仿宋_GB2312"/>
          <w:color w:val="auto"/>
          <w:sz w:val="32"/>
          <w:szCs w:val="32"/>
          <w:highlight w:val="none"/>
          <w:lang w:val="en-US" w:eastAsia="zh-CN"/>
        </w:rPr>
        <w:t>258.79</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32.32</w:t>
      </w:r>
      <w:r>
        <w:rPr>
          <w:rFonts w:hint="eastAsia" w:ascii="仿宋_GB2312" w:hAnsi="仿宋_GB2312" w:eastAsia="仿宋_GB2312" w:cs="仿宋_GB2312"/>
          <w:color w:val="auto"/>
          <w:sz w:val="32"/>
          <w:szCs w:val="32"/>
          <w:highlight w:val="none"/>
        </w:rPr>
        <w:t>%；项目支出</w:t>
      </w:r>
      <w:r>
        <w:rPr>
          <w:rFonts w:hint="eastAsia" w:ascii="仿宋_GB2312" w:hAnsi="仿宋_GB2312" w:cs="仿宋_GB2312"/>
          <w:color w:val="auto"/>
          <w:sz w:val="32"/>
          <w:szCs w:val="32"/>
          <w:highlight w:val="none"/>
          <w:lang w:val="en-US" w:eastAsia="zh-CN"/>
        </w:rPr>
        <w:t>541.91</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67.68</w:t>
      </w:r>
      <w:r>
        <w:rPr>
          <w:rFonts w:hint="eastAsia" w:ascii="仿宋_GB2312" w:hAnsi="仿宋_GB2312" w:eastAsia="仿宋_GB2312" w:cs="仿宋_GB2312"/>
          <w:color w:val="auto"/>
          <w:sz w:val="32"/>
          <w:szCs w:val="32"/>
          <w:highlight w:val="none"/>
        </w:rPr>
        <w:t>%；上缴上级支出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%；经营支出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%；对附属单位补助支出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p>
    <w:p>
      <w:pPr>
        <w:spacing w:line="600" w:lineRule="exact"/>
        <w:ind w:firstLine="640" w:firstLineChars="20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（图3：支出决算结构图）（饼状图）</w:t>
      </w:r>
    </w:p>
    <w:p>
      <w:pPr>
        <w:pStyle w:val="2"/>
        <w:rPr>
          <w:rFonts w:hint="eastAsia"/>
        </w:rPr>
      </w:pPr>
      <w:r>
        <w:rPr>
          <w:rFonts w:hint="eastAsia" w:eastAsia="仿宋"/>
          <w:lang w:val="en-US" w:eastAsia="zh-CN"/>
        </w:rPr>
        <w:t xml:space="preserve">                </w:t>
      </w:r>
      <w:r>
        <w:rPr>
          <w:rFonts w:hint="eastAsia" w:eastAsia="仿宋"/>
          <w:lang w:eastAsia="zh-CN"/>
        </w:rPr>
        <w:drawing>
          <wp:inline distT="0" distB="0" distL="114300" distR="114300">
            <wp:extent cx="3475990" cy="1924685"/>
            <wp:effectExtent l="5080" t="4445" r="5080" b="1397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18"/>
          <w:rFonts w:ascii="黑体" w:hAnsi="黑体" w:eastAsia="黑体"/>
          <w:b w:val="0"/>
        </w:rPr>
      </w:pPr>
      <w:bookmarkStart w:id="19" w:name="_Toc15396606"/>
      <w:bookmarkStart w:id="20" w:name="_Toc2589"/>
      <w:bookmarkStart w:id="21" w:name="_Toc15377208"/>
      <w:bookmarkStart w:id="22" w:name="_Toc1887585605"/>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19"/>
      <w:bookmarkEnd w:id="20"/>
      <w:bookmarkEnd w:id="21"/>
      <w:bookmarkEnd w:id="22"/>
    </w:p>
    <w:p>
      <w:pPr>
        <w:spacing w:line="600" w:lineRule="exact"/>
        <w:ind w:firstLine="640" w:firstLineChars="200"/>
        <w:rPr>
          <w:rFonts w:hint="eastAsia" w:ascii="仿宋_GB2312" w:hAnsi="仿宋_GB2312" w:cs="仿宋_GB2312"/>
          <w:color w:val="auto"/>
          <w:sz w:val="32"/>
          <w:szCs w:val="32"/>
          <w:highlight w:val="none"/>
          <w:lang w:eastAsia="zh-CN"/>
        </w:rPr>
      </w:pPr>
      <w:r>
        <w:rPr>
          <w:rFonts w:hint="eastAsia" w:ascii="仿宋_GB2312" w:hAnsi="仿宋_GB2312" w:cs="仿宋_GB2312"/>
          <w:color w:val="auto"/>
          <w:sz w:val="32"/>
          <w:szCs w:val="32"/>
          <w:highlight w:val="none"/>
          <w:lang w:eastAsia="zh-CN"/>
        </w:rPr>
        <w:t>2023年财政拨款收、支总计</w:t>
      </w:r>
      <w:r>
        <w:rPr>
          <w:rFonts w:hint="eastAsia" w:ascii="仿宋_GB2312" w:hAnsi="仿宋_GB2312" w:cs="仿宋_GB2312"/>
          <w:color w:val="auto"/>
          <w:sz w:val="32"/>
          <w:szCs w:val="32"/>
          <w:highlight w:val="none"/>
          <w:lang w:val="en-US" w:eastAsia="zh-CN"/>
        </w:rPr>
        <w:t>800.70</w:t>
      </w:r>
      <w:r>
        <w:rPr>
          <w:rFonts w:hint="eastAsia" w:ascii="仿宋_GB2312" w:hAnsi="仿宋_GB2312" w:cs="仿宋_GB2312"/>
          <w:color w:val="auto"/>
          <w:sz w:val="32"/>
          <w:szCs w:val="32"/>
          <w:highlight w:val="none"/>
          <w:lang w:eastAsia="zh-CN"/>
        </w:rPr>
        <w:t>万元。与</w:t>
      </w:r>
      <w:r>
        <w:rPr>
          <w:rFonts w:hint="eastAsia" w:ascii="仿宋_GB2312" w:hAnsi="仿宋_GB2312" w:cs="仿宋_GB2312"/>
          <w:color w:val="auto"/>
          <w:sz w:val="32"/>
          <w:szCs w:val="32"/>
          <w:highlight w:val="none"/>
          <w:lang w:eastAsia="zh-CN"/>
        </w:rPr>
        <w:t>2022年相比，财政拨款收、支总计各增加</w:t>
      </w:r>
      <w:r>
        <w:rPr>
          <w:rFonts w:hint="eastAsia" w:ascii="仿宋_GB2312" w:hAnsi="仿宋_GB2312" w:cs="仿宋_GB2312"/>
          <w:color w:val="auto"/>
          <w:sz w:val="32"/>
          <w:szCs w:val="32"/>
          <w:highlight w:val="none"/>
          <w:lang w:val="en-US" w:eastAsia="zh-CN"/>
        </w:rPr>
        <w:t>149.75</w:t>
      </w:r>
      <w:r>
        <w:rPr>
          <w:rFonts w:hint="eastAsia" w:ascii="仿宋_GB2312" w:hAnsi="仿宋_GB2312" w:cs="仿宋_GB2312"/>
          <w:color w:val="auto"/>
          <w:sz w:val="32"/>
          <w:szCs w:val="32"/>
          <w:highlight w:val="none"/>
          <w:lang w:eastAsia="zh-CN"/>
        </w:rPr>
        <w:t>万元，增长</w:t>
      </w:r>
      <w:r>
        <w:rPr>
          <w:rFonts w:hint="eastAsia" w:ascii="仿宋_GB2312" w:hAnsi="仿宋_GB2312" w:cs="仿宋_GB2312"/>
          <w:color w:val="auto"/>
          <w:sz w:val="32"/>
          <w:szCs w:val="32"/>
          <w:highlight w:val="none"/>
          <w:lang w:val="en-US" w:eastAsia="zh-CN"/>
        </w:rPr>
        <w:t>23.00</w:t>
      </w:r>
      <w:r>
        <w:rPr>
          <w:rFonts w:hint="eastAsia" w:ascii="仿宋_GB2312" w:hAnsi="仿宋_GB2312" w:cs="仿宋_GB2312"/>
          <w:color w:val="auto"/>
          <w:sz w:val="32"/>
          <w:szCs w:val="32"/>
          <w:highlight w:val="none"/>
          <w:lang w:eastAsia="zh-CN"/>
        </w:rPr>
        <w:t>%。主要变动原因是</w:t>
      </w:r>
      <w:r>
        <w:rPr>
          <w:rFonts w:hint="eastAsia" w:ascii="仿宋_GB2312" w:hAnsi="仿宋_GB2312" w:cs="仿宋_GB2312"/>
          <w:color w:val="auto"/>
          <w:sz w:val="32"/>
          <w:szCs w:val="32"/>
          <w:highlight w:val="none"/>
          <w:lang w:eastAsia="zh-CN"/>
        </w:rPr>
        <w:t>留置对象增加，运转经费增加。</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（图4：财政拨款收、支决算总计变动情况）（柱状图）</w:t>
      </w:r>
    </w:p>
    <w:p>
      <w:pPr>
        <w:pStyle w:val="10"/>
        <w:jc w:val="center"/>
        <w:rPr>
          <w:rFonts w:ascii="仿宋" w:hAnsi="仿宋" w:eastAsia="仿宋"/>
          <w:b/>
          <w:color w:val="00B050"/>
          <w:sz w:val="32"/>
          <w:szCs w:val="32"/>
        </w:rPr>
      </w:pPr>
      <w:r>
        <w:rPr>
          <w:rFonts w:hint="eastAsia" w:ascii="仿宋" w:hAnsi="仿宋" w:eastAsia="仿宋"/>
          <w:color w:val="000000"/>
          <w:szCs w:val="32"/>
          <w:lang w:val="en-US" w:eastAsia="zh-CN"/>
        </w:rPr>
        <w:t xml:space="preserve">   </w:t>
      </w:r>
      <w:r>
        <w:rPr>
          <w:rFonts w:hint="eastAsia" w:ascii="仿宋" w:hAnsi="仿宋" w:eastAsia="仿宋"/>
          <w:color w:val="000000"/>
          <w:szCs w:val="32"/>
          <w:lang w:eastAsia="zh-CN"/>
        </w:rPr>
        <w:drawing>
          <wp:inline distT="0" distB="0" distL="114300" distR="114300">
            <wp:extent cx="3834765" cy="2066925"/>
            <wp:effectExtent l="4445" t="4445" r="8890" b="508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rPr>
          <w:rFonts w:ascii="仿宋" w:hAnsi="仿宋" w:eastAsia="仿宋"/>
          <w:b/>
          <w:color w:val="00B050"/>
          <w:sz w:val="32"/>
          <w:szCs w:val="32"/>
        </w:rPr>
      </w:pPr>
    </w:p>
    <w:p>
      <w:pPr>
        <w:spacing w:line="600" w:lineRule="exact"/>
        <w:ind w:firstLine="640" w:firstLineChars="200"/>
        <w:outlineLvl w:val="1"/>
        <w:rPr>
          <w:rStyle w:val="18"/>
          <w:rFonts w:ascii="黑体" w:hAnsi="黑体" w:eastAsia="黑体"/>
          <w:b w:val="0"/>
        </w:rPr>
      </w:pPr>
      <w:bookmarkStart w:id="23" w:name="_Toc17328"/>
      <w:bookmarkStart w:id="24" w:name="_Toc883410705"/>
      <w:bookmarkStart w:id="25" w:name="_Toc15377209"/>
      <w:bookmarkStart w:id="26"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23"/>
      <w:bookmarkEnd w:id="24"/>
      <w:bookmarkEnd w:id="25"/>
      <w:bookmarkEnd w:id="26"/>
    </w:p>
    <w:p>
      <w:pPr>
        <w:spacing w:line="600" w:lineRule="exact"/>
        <w:ind w:firstLine="643" w:firstLineChars="200"/>
        <w:outlineLvl w:val="2"/>
        <w:rPr>
          <w:rFonts w:ascii="仿宋" w:hAnsi="仿宋" w:eastAsia="仿宋"/>
          <w:b/>
          <w:color w:val="000000"/>
          <w:sz w:val="32"/>
          <w:szCs w:val="32"/>
        </w:rPr>
      </w:pPr>
      <w:bookmarkStart w:id="27" w:name="_Toc15377210"/>
      <w:r>
        <w:rPr>
          <w:rFonts w:hint="eastAsia" w:ascii="仿宋" w:hAnsi="仿宋" w:eastAsia="仿宋"/>
          <w:b/>
          <w:color w:val="000000"/>
          <w:sz w:val="32"/>
          <w:szCs w:val="32"/>
        </w:rPr>
        <w:t>（一）一般公共预算财政拨款支出决算总体情况</w:t>
      </w:r>
      <w:bookmarkEnd w:id="27"/>
    </w:p>
    <w:p>
      <w:pPr>
        <w:spacing w:line="600" w:lineRule="exact"/>
        <w:ind w:firstLine="640" w:firstLineChars="200"/>
        <w:rPr>
          <w:rFonts w:hint="eastAsia" w:ascii="仿宋_GB2312" w:hAnsi="仿宋_GB2312" w:cs="仿宋_GB2312"/>
          <w:color w:val="auto"/>
          <w:sz w:val="32"/>
          <w:szCs w:val="32"/>
          <w:highlight w:val="none"/>
          <w:lang w:eastAsia="zh-CN"/>
        </w:rPr>
      </w:pPr>
      <w:r>
        <w:rPr>
          <w:rFonts w:hint="eastAsia" w:ascii="仿宋_GB2312" w:hAnsi="仿宋_GB2312" w:cs="仿宋_GB2312"/>
          <w:color w:val="auto"/>
          <w:sz w:val="32"/>
          <w:szCs w:val="32"/>
          <w:highlight w:val="none"/>
          <w:lang w:eastAsia="zh-CN"/>
        </w:rPr>
        <w:t>2023年一般公共预算财政拨款支出</w:t>
      </w:r>
      <w:r>
        <w:rPr>
          <w:rFonts w:hint="eastAsia" w:ascii="仿宋_GB2312" w:hAnsi="仿宋_GB2312" w:cs="仿宋_GB2312"/>
          <w:color w:val="auto"/>
          <w:sz w:val="32"/>
          <w:szCs w:val="32"/>
          <w:highlight w:val="none"/>
          <w:lang w:val="en-US" w:eastAsia="zh-CN"/>
        </w:rPr>
        <w:t>800.70</w:t>
      </w:r>
      <w:r>
        <w:rPr>
          <w:rFonts w:hint="eastAsia" w:ascii="仿宋_GB2312" w:hAnsi="仿宋_GB2312" w:cs="仿宋_GB2312"/>
          <w:color w:val="auto"/>
          <w:sz w:val="32"/>
          <w:szCs w:val="32"/>
          <w:highlight w:val="none"/>
          <w:lang w:eastAsia="zh-CN"/>
        </w:rPr>
        <w:t>万元，占本年支出合计的</w:t>
      </w:r>
      <w:r>
        <w:rPr>
          <w:rFonts w:hint="eastAsia" w:ascii="仿宋_GB2312" w:hAnsi="仿宋_GB2312" w:cs="仿宋_GB2312"/>
          <w:color w:val="auto"/>
          <w:sz w:val="32"/>
          <w:szCs w:val="32"/>
          <w:highlight w:val="none"/>
          <w:lang w:val="en-US" w:eastAsia="zh-CN"/>
        </w:rPr>
        <w:t>100</w:t>
      </w:r>
      <w:r>
        <w:rPr>
          <w:rFonts w:hint="eastAsia" w:ascii="仿宋_GB2312" w:hAnsi="仿宋_GB2312" w:cs="仿宋_GB2312"/>
          <w:color w:val="auto"/>
          <w:sz w:val="32"/>
          <w:szCs w:val="32"/>
          <w:highlight w:val="none"/>
          <w:lang w:eastAsia="zh-CN"/>
        </w:rPr>
        <w:t>%。与</w:t>
      </w:r>
      <w:r>
        <w:rPr>
          <w:rFonts w:hint="eastAsia" w:ascii="仿宋_GB2312" w:hAnsi="仿宋_GB2312" w:cs="仿宋_GB2312"/>
          <w:color w:val="auto"/>
          <w:sz w:val="32"/>
          <w:szCs w:val="32"/>
          <w:highlight w:val="none"/>
          <w:lang w:eastAsia="zh-CN"/>
        </w:rPr>
        <w:t>2022年相比，一般公共预算财政拨款支出增加</w:t>
      </w:r>
      <w:r>
        <w:rPr>
          <w:rFonts w:hint="eastAsia" w:ascii="仿宋_GB2312" w:hAnsi="仿宋_GB2312" w:cs="仿宋_GB2312"/>
          <w:color w:val="auto"/>
          <w:sz w:val="32"/>
          <w:szCs w:val="32"/>
          <w:highlight w:val="none"/>
          <w:lang w:val="en-US" w:eastAsia="zh-CN"/>
        </w:rPr>
        <w:t>149.75</w:t>
      </w:r>
      <w:r>
        <w:rPr>
          <w:rFonts w:hint="eastAsia" w:ascii="仿宋_GB2312" w:hAnsi="仿宋_GB2312" w:cs="仿宋_GB2312"/>
          <w:color w:val="auto"/>
          <w:sz w:val="32"/>
          <w:szCs w:val="32"/>
          <w:highlight w:val="none"/>
          <w:lang w:eastAsia="zh-CN"/>
        </w:rPr>
        <w:t>万元，增长</w:t>
      </w:r>
      <w:r>
        <w:rPr>
          <w:rFonts w:hint="eastAsia" w:ascii="仿宋_GB2312" w:hAnsi="仿宋_GB2312" w:cs="仿宋_GB2312"/>
          <w:color w:val="auto"/>
          <w:sz w:val="32"/>
          <w:szCs w:val="32"/>
          <w:highlight w:val="none"/>
          <w:lang w:val="en-US" w:eastAsia="zh-CN"/>
        </w:rPr>
        <w:t>23.00</w:t>
      </w:r>
      <w:r>
        <w:rPr>
          <w:rFonts w:hint="eastAsia" w:ascii="仿宋_GB2312" w:hAnsi="仿宋_GB2312" w:cs="仿宋_GB2312"/>
          <w:color w:val="auto"/>
          <w:sz w:val="32"/>
          <w:szCs w:val="32"/>
          <w:highlight w:val="none"/>
          <w:lang w:eastAsia="zh-CN"/>
        </w:rPr>
        <w:t>%。主要变动原因是</w:t>
      </w:r>
      <w:r>
        <w:rPr>
          <w:rFonts w:hint="eastAsia" w:ascii="仿宋_GB2312" w:hAnsi="仿宋_GB2312" w:cs="仿宋_GB2312"/>
          <w:color w:val="auto"/>
          <w:sz w:val="32"/>
          <w:szCs w:val="32"/>
          <w:highlight w:val="none"/>
          <w:lang w:eastAsia="zh-CN"/>
        </w:rPr>
        <w:t>留置对象增加，运转经费增加。</w:t>
      </w:r>
    </w:p>
    <w:p>
      <w:pPr>
        <w:spacing w:line="600" w:lineRule="exact"/>
        <w:ind w:firstLine="640" w:firstLineChars="200"/>
        <w:rPr>
          <w:rFonts w:hint="eastAsia"/>
        </w:rPr>
      </w:pPr>
      <w:r>
        <w:rPr>
          <w:rFonts w:hint="eastAsia" w:ascii="仿宋_GB2312" w:hAnsi="仿宋_GB2312" w:eastAsia="仿宋_GB2312" w:cs="仿宋_GB2312"/>
          <w:color w:val="000000"/>
          <w:sz w:val="32"/>
          <w:szCs w:val="32"/>
        </w:rPr>
        <w:t>（图5：一般公共预算财政拨款支出决算变动情况）（柱状图）</w:t>
      </w:r>
    </w:p>
    <w:p>
      <w:pPr>
        <w:pStyle w:val="10"/>
        <w:rPr>
          <w:rFonts w:hint="eastAsia"/>
        </w:rPr>
      </w:pPr>
      <w:r>
        <w:rPr>
          <w:rFonts w:hint="eastAsia" w:ascii="仿宋" w:hAnsi="仿宋" w:eastAsia="仿宋"/>
          <w:color w:val="000000"/>
          <w:szCs w:val="32"/>
          <w:lang w:eastAsia="zh-CN"/>
        </w:rPr>
        <w:drawing>
          <wp:anchor distT="0" distB="0" distL="114300" distR="114300" simplePos="0" relativeHeight="251660288" behindDoc="1" locked="0" layoutInCell="1" allowOverlap="1">
            <wp:simplePos x="0" y="0"/>
            <wp:positionH relativeFrom="column">
              <wp:posOffset>641985</wp:posOffset>
            </wp:positionH>
            <wp:positionV relativeFrom="paragraph">
              <wp:posOffset>25400</wp:posOffset>
            </wp:positionV>
            <wp:extent cx="4083685" cy="2200910"/>
            <wp:effectExtent l="4445" t="4445" r="7620" b="23495"/>
            <wp:wrapTight wrapText="bothSides">
              <wp:wrapPolygon>
                <wp:start x="-24" y="-44"/>
                <wp:lineTo x="-24" y="21457"/>
                <wp:lineTo x="21540" y="21457"/>
                <wp:lineTo x="21540" y="-44"/>
                <wp:lineTo x="-24" y="-44"/>
              </wp:wrapPolygon>
            </wp:wrapTight>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28" w:name="_Toc15377211"/>
      <w:r>
        <w:rPr>
          <w:rFonts w:hint="eastAsia" w:ascii="仿宋" w:hAnsi="仿宋" w:eastAsia="仿宋"/>
          <w:b/>
          <w:color w:val="000000"/>
          <w:sz w:val="32"/>
          <w:szCs w:val="32"/>
        </w:rPr>
        <w:t>（二）一般公共预算财政拨款支出决算结构情况</w:t>
      </w:r>
      <w:bookmarkEnd w:id="28"/>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2023年一般公共预算财政拨款支出</w:t>
      </w:r>
      <w:r>
        <w:rPr>
          <w:rFonts w:hint="eastAsia" w:ascii="仿宋_GB2312" w:hAnsi="仿宋_GB2312" w:cs="仿宋_GB2312"/>
          <w:color w:val="auto"/>
          <w:sz w:val="32"/>
          <w:szCs w:val="32"/>
          <w:highlight w:val="none"/>
          <w:lang w:val="en-US" w:eastAsia="zh-CN"/>
        </w:rPr>
        <w:t>800.70</w:t>
      </w:r>
      <w:r>
        <w:rPr>
          <w:rFonts w:hint="eastAsia" w:ascii="仿宋_GB2312" w:hAnsi="仿宋_GB2312" w:cs="仿宋_GB2312"/>
          <w:color w:val="auto"/>
          <w:sz w:val="32"/>
          <w:szCs w:val="32"/>
          <w:highlight w:val="none"/>
          <w:lang w:eastAsia="zh-CN"/>
        </w:rPr>
        <w:t>万元，主要用于以下方面:</w:t>
      </w:r>
      <w:r>
        <w:rPr>
          <w:rFonts w:hint="eastAsia" w:ascii="仿宋_GB2312" w:hAnsi="仿宋_GB2312" w:eastAsia="仿宋_GB2312" w:cs="仿宋_GB2312"/>
          <w:b/>
          <w:color w:val="auto"/>
          <w:sz w:val="32"/>
          <w:szCs w:val="32"/>
          <w:highlight w:val="none"/>
        </w:rPr>
        <w:t>一般公共服务</w:t>
      </w:r>
      <w:r>
        <w:rPr>
          <w:rFonts w:hint="eastAsia" w:ascii="仿宋_GB2312" w:hAnsi="仿宋_GB2312" w:eastAsia="仿宋_GB2312" w:cs="仿宋_GB2312"/>
          <w:b/>
          <w:bCs/>
          <w:color w:val="auto"/>
          <w:sz w:val="32"/>
          <w:szCs w:val="32"/>
          <w:highlight w:val="none"/>
        </w:rPr>
        <w:t>支出</w:t>
      </w:r>
      <w:r>
        <w:rPr>
          <w:rFonts w:hint="eastAsia" w:ascii="仿宋_GB2312" w:hAnsi="仿宋_GB2312" w:cs="仿宋_GB2312"/>
          <w:color w:val="auto"/>
          <w:sz w:val="32"/>
          <w:szCs w:val="32"/>
          <w:highlight w:val="none"/>
          <w:lang w:val="en-US" w:eastAsia="zh-CN"/>
        </w:rPr>
        <w:t>730.59</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91.24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color w:val="auto"/>
          <w:sz w:val="32"/>
          <w:szCs w:val="32"/>
          <w:highlight w:val="none"/>
        </w:rPr>
        <w:t>教育支出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color w:val="auto"/>
          <w:sz w:val="32"/>
          <w:szCs w:val="32"/>
          <w:highlight w:val="none"/>
        </w:rPr>
        <w:t>科学技术</w:t>
      </w:r>
      <w:r>
        <w:rPr>
          <w:rFonts w:hint="eastAsia" w:ascii="仿宋_GB2312" w:hAnsi="仿宋_GB2312" w:eastAsia="仿宋_GB2312" w:cs="仿宋_GB2312"/>
          <w:b/>
          <w:bCs/>
          <w:color w:val="auto"/>
          <w:sz w:val="32"/>
          <w:szCs w:val="32"/>
          <w:highlight w:val="none"/>
        </w:rPr>
        <w:t>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文化旅游体育与传媒支出</w:t>
      </w:r>
      <w:r>
        <w:rPr>
          <w:rFonts w:hint="eastAsia" w:ascii="仿宋_GB2312" w:hAnsi="仿宋_GB2312" w:cs="仿宋_GB2312"/>
          <w:b/>
          <w:bCs/>
          <w:color w:val="auto"/>
          <w:sz w:val="32"/>
          <w:szCs w:val="32"/>
          <w:highlight w:val="none"/>
          <w:lang w:val="en-US" w:eastAsia="zh-CN"/>
        </w:rPr>
        <w:t>0</w:t>
      </w:r>
      <w:r>
        <w:rPr>
          <w:rFonts w:hint="eastAsia" w:ascii="仿宋_GB2312" w:hAnsi="仿宋_GB2312" w:eastAsia="仿宋_GB2312" w:cs="仿宋_GB2312"/>
          <w:b/>
          <w:bCs/>
          <w:color w:val="auto"/>
          <w:sz w:val="32"/>
          <w:szCs w:val="32"/>
          <w:highlight w:val="none"/>
        </w:rPr>
        <w:t>万元，占</w:t>
      </w:r>
      <w:r>
        <w:rPr>
          <w:rFonts w:hint="eastAsia" w:ascii="仿宋_GB2312" w:hAnsi="仿宋_GB2312" w:cs="仿宋_GB2312"/>
          <w:b/>
          <w:bCs/>
          <w:color w:val="auto"/>
          <w:sz w:val="32"/>
          <w:szCs w:val="32"/>
          <w:highlight w:val="none"/>
          <w:lang w:val="en-US" w:eastAsia="zh-CN"/>
        </w:rPr>
        <w:t>0</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color w:val="auto"/>
          <w:sz w:val="32"/>
          <w:szCs w:val="32"/>
          <w:highlight w:val="none"/>
        </w:rPr>
        <w:t>社会保障和就业</w:t>
      </w:r>
      <w:r>
        <w:rPr>
          <w:rFonts w:hint="eastAsia" w:ascii="仿宋_GB2312" w:hAnsi="仿宋_GB2312" w:eastAsia="仿宋_GB2312" w:cs="仿宋_GB2312"/>
          <w:b/>
          <w:bCs/>
          <w:color w:val="auto"/>
          <w:sz w:val="32"/>
          <w:szCs w:val="32"/>
          <w:highlight w:val="none"/>
        </w:rPr>
        <w:t>支出</w:t>
      </w:r>
      <w:r>
        <w:rPr>
          <w:rFonts w:hint="eastAsia" w:ascii="仿宋_GB2312" w:hAnsi="仿宋_GB2312" w:cs="仿宋_GB2312"/>
          <w:color w:val="auto"/>
          <w:sz w:val="32"/>
          <w:szCs w:val="32"/>
          <w:highlight w:val="none"/>
          <w:lang w:val="en-US" w:eastAsia="zh-CN"/>
        </w:rPr>
        <w:t>37.05</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4.63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卫生健康支出</w:t>
      </w:r>
      <w:r>
        <w:rPr>
          <w:rFonts w:hint="eastAsia" w:ascii="仿宋_GB2312" w:hAnsi="仿宋_GB2312" w:cs="仿宋_GB2312"/>
          <w:color w:val="auto"/>
          <w:sz w:val="32"/>
          <w:szCs w:val="32"/>
          <w:highlight w:val="none"/>
          <w:lang w:val="en-US" w:eastAsia="zh-CN"/>
        </w:rPr>
        <w:t>13.90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1.74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住房保障支出</w:t>
      </w:r>
      <w:r>
        <w:rPr>
          <w:rFonts w:hint="eastAsia" w:ascii="仿宋_GB2312" w:hAnsi="仿宋_GB2312" w:cs="仿宋_GB2312"/>
          <w:color w:val="auto"/>
          <w:sz w:val="32"/>
          <w:szCs w:val="32"/>
          <w:highlight w:val="none"/>
          <w:lang w:val="en-US" w:eastAsia="zh-CN"/>
        </w:rPr>
        <w:t>19.16</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2.39</w:t>
      </w:r>
      <w:r>
        <w:rPr>
          <w:rFonts w:hint="eastAsia" w:ascii="仿宋_GB2312" w:hAnsi="仿宋_GB2312" w:eastAsia="仿宋_GB2312" w:cs="仿宋_GB2312"/>
          <w:color w:val="auto"/>
          <w:sz w:val="32"/>
          <w:szCs w:val="32"/>
          <w:highlight w:val="none"/>
        </w:rPr>
        <w:t>%。</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（图6：一般公共预算财政拨款支出决算结构）（饼状图）</w:t>
      </w:r>
    </w:p>
    <w:p>
      <w:pPr>
        <w:pStyle w:val="10"/>
        <w:jc w:val="center"/>
        <w:rPr>
          <w:rFonts w:ascii="仿宋" w:hAnsi="仿宋" w:eastAsia="仿宋"/>
          <w:color w:val="000000"/>
          <w:sz w:val="32"/>
          <w:szCs w:val="32"/>
        </w:rPr>
      </w:pPr>
      <w:r>
        <w:rPr>
          <w:rFonts w:hint="eastAsia" w:eastAsia="仿宋"/>
          <w:lang w:eastAsia="zh-CN"/>
        </w:rPr>
        <w:drawing>
          <wp:inline distT="0" distB="0" distL="114300" distR="114300">
            <wp:extent cx="3563620" cy="2077720"/>
            <wp:effectExtent l="5080" t="4445" r="12700" b="1333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29" w:name="_Toc15377212"/>
      <w:r>
        <w:rPr>
          <w:rFonts w:hint="eastAsia" w:ascii="仿宋" w:hAnsi="仿宋" w:eastAsia="仿宋"/>
          <w:b/>
          <w:color w:val="000000"/>
          <w:sz w:val="32"/>
          <w:szCs w:val="32"/>
        </w:rPr>
        <w:t>（三）一般公共预算财政拨款支出决算具体情况</w:t>
      </w:r>
      <w:bookmarkEnd w:id="29"/>
    </w:p>
    <w:p>
      <w:pPr>
        <w:spacing w:line="600" w:lineRule="exact"/>
        <w:ind w:firstLine="643" w:firstLineChars="200"/>
        <w:outlineLvl w:val="2"/>
        <w:rPr>
          <w:rFonts w:hint="eastAsia" w:ascii="仿宋_GB2312" w:hAnsi="仿宋_GB2312" w:eastAsia="仿宋_GB2312" w:cs="仿宋_GB2312"/>
          <w:color w:val="auto"/>
          <w:sz w:val="32"/>
          <w:szCs w:val="32"/>
          <w:highlight w:val="none"/>
        </w:rPr>
      </w:pPr>
      <w:bookmarkStart w:id="30" w:name="_Toc15377213"/>
      <w:bookmarkStart w:id="31" w:name="_Toc15377444"/>
      <w:bookmarkStart w:id="32" w:name="_Toc15378460"/>
      <w:r>
        <w:rPr>
          <w:rFonts w:hint="eastAsia" w:ascii="仿宋_GB2312" w:hAnsi="仿宋_GB2312" w:cs="仿宋_GB2312"/>
          <w:b/>
          <w:color w:val="auto"/>
          <w:sz w:val="32"/>
          <w:szCs w:val="32"/>
          <w:highlight w:val="none"/>
          <w:lang w:eastAsia="zh-CN"/>
        </w:rPr>
        <w:t>2023</w:t>
      </w:r>
      <w:r>
        <w:rPr>
          <w:rFonts w:hint="eastAsia" w:ascii="仿宋_GB2312" w:hAnsi="仿宋_GB2312" w:eastAsia="仿宋_GB2312" w:cs="仿宋_GB2312"/>
          <w:b/>
          <w:color w:val="auto"/>
          <w:sz w:val="32"/>
          <w:szCs w:val="32"/>
          <w:highlight w:val="none"/>
        </w:rPr>
        <w:t>年</w:t>
      </w:r>
      <w:r>
        <w:rPr>
          <w:rFonts w:hint="eastAsia" w:ascii="仿宋_GB2312" w:hAnsi="仿宋_GB2312" w:eastAsia="仿宋_GB2312" w:cs="仿宋_GB2312"/>
          <w:b/>
          <w:color w:val="auto"/>
          <w:sz w:val="32"/>
          <w:szCs w:val="32"/>
          <w:highlight w:val="none"/>
          <w:lang w:eastAsia="zh-CN"/>
        </w:rPr>
        <w:t>一</w:t>
      </w:r>
      <w:r>
        <w:rPr>
          <w:rFonts w:hint="eastAsia" w:ascii="仿宋_GB2312" w:hAnsi="仿宋_GB2312" w:eastAsia="仿宋_GB2312" w:cs="仿宋_GB2312"/>
          <w:b/>
          <w:color w:val="auto"/>
          <w:sz w:val="32"/>
          <w:szCs w:val="32"/>
          <w:highlight w:val="none"/>
        </w:rPr>
        <w:t>般公共预算支出决算数为</w:t>
      </w:r>
      <w:r>
        <w:rPr>
          <w:rFonts w:hint="eastAsia" w:ascii="仿宋_GB2312" w:hAnsi="仿宋_GB2312" w:cs="仿宋_GB2312"/>
          <w:b/>
          <w:color w:val="auto"/>
          <w:sz w:val="32"/>
          <w:szCs w:val="32"/>
          <w:highlight w:val="none"/>
          <w:lang w:val="en-US" w:eastAsia="zh-CN"/>
        </w:rPr>
        <w:t>800.70万元</w:t>
      </w:r>
      <w:r>
        <w:rPr>
          <w:rFonts w:hint="eastAsia" w:ascii="仿宋_GB2312" w:hAnsi="仿宋_GB2312" w:eastAsia="仿宋_GB2312" w:cs="仿宋_GB2312"/>
          <w:color w:val="auto"/>
          <w:sz w:val="32"/>
          <w:szCs w:val="32"/>
          <w:highlight w:val="none"/>
        </w:rPr>
        <w:t>，</w:t>
      </w:r>
      <w:r>
        <w:rPr>
          <w:rStyle w:val="15"/>
          <w:rFonts w:hint="eastAsia" w:ascii="仿宋_GB2312" w:hAnsi="仿宋_GB2312" w:eastAsia="仿宋_GB2312" w:cs="仿宋_GB2312"/>
          <w:bCs/>
          <w:color w:val="auto"/>
          <w:sz w:val="32"/>
          <w:szCs w:val="32"/>
          <w:highlight w:val="none"/>
        </w:rPr>
        <w:t>完成预算</w:t>
      </w:r>
      <w:r>
        <w:rPr>
          <w:rStyle w:val="15"/>
          <w:rFonts w:hint="eastAsia" w:ascii="仿宋_GB2312" w:hAnsi="仿宋_GB2312" w:cs="仿宋_GB2312"/>
          <w:bCs/>
          <w:color w:val="auto"/>
          <w:sz w:val="32"/>
          <w:szCs w:val="32"/>
          <w:highlight w:val="none"/>
          <w:lang w:val="en-US" w:eastAsia="zh-CN"/>
        </w:rPr>
        <w:t>100</w:t>
      </w:r>
      <w:r>
        <w:rPr>
          <w:rStyle w:val="15"/>
          <w:rFonts w:hint="eastAsia" w:ascii="仿宋_GB2312" w:hAnsi="仿宋_GB2312" w:eastAsia="仿宋_GB2312" w:cs="仿宋_GB2312"/>
          <w:bCs/>
          <w:color w:val="auto"/>
          <w:sz w:val="32"/>
          <w:szCs w:val="32"/>
          <w:highlight w:val="none"/>
        </w:rPr>
        <w:t>%。其中：</w:t>
      </w:r>
      <w:bookmarkEnd w:id="30"/>
      <w:bookmarkEnd w:id="31"/>
      <w:bookmarkEnd w:id="32"/>
    </w:p>
    <w:p>
      <w:pPr>
        <w:spacing w:line="600" w:lineRule="exact"/>
        <w:ind w:firstLine="643" w:firstLineChars="200"/>
        <w:rPr>
          <w:rFonts w:hint="eastAsia" w:ascii="仿宋_GB2312" w:hAnsi="仿宋_GB2312" w:eastAsia="仿宋_GB2312" w:cs="仿宋_GB2312"/>
          <w:b/>
          <w:color w:val="auto"/>
          <w:sz w:val="32"/>
          <w:szCs w:val="32"/>
          <w:highlight w:val="none"/>
        </w:rPr>
      </w:pPr>
      <w:r>
        <w:rPr>
          <w:rStyle w:val="15"/>
          <w:rFonts w:hint="eastAsia" w:ascii="仿宋_GB2312" w:hAnsi="仿宋_GB2312" w:eastAsia="仿宋_GB2312" w:cs="仿宋_GB2312"/>
          <w:bCs/>
          <w:color w:val="auto"/>
          <w:sz w:val="32"/>
          <w:szCs w:val="32"/>
          <w:highlight w:val="none"/>
        </w:rPr>
        <w:t>1.</w:t>
      </w:r>
      <w:r>
        <w:rPr>
          <w:rStyle w:val="15"/>
          <w:rFonts w:hint="eastAsia" w:ascii="仿宋_GB2312" w:hAnsi="仿宋"/>
          <w:bCs/>
          <w:color w:val="000000"/>
          <w:szCs w:val="32"/>
        </w:rPr>
        <w:t>一般公共服务（类）纪检监察事务（款）事业运行（项）</w:t>
      </w:r>
      <w:r>
        <w:rPr>
          <w:rStyle w:val="15"/>
          <w:rFonts w:hint="eastAsia" w:ascii="仿宋_GB2312" w:hAnsi="仿宋_GB2312" w:eastAsia="仿宋_GB2312" w:cs="仿宋_GB2312"/>
          <w:bCs/>
          <w:color w:val="auto"/>
          <w:sz w:val="32"/>
          <w:szCs w:val="32"/>
          <w:highlight w:val="none"/>
        </w:rPr>
        <w:t>:</w:t>
      </w:r>
      <w:r>
        <w:rPr>
          <w:rStyle w:val="15"/>
          <w:rFonts w:hint="eastAsia" w:ascii="仿宋_GB2312" w:hAnsi="仿宋_GB2312" w:eastAsia="仿宋_GB2312" w:cs="仿宋_GB2312"/>
          <w:b w:val="0"/>
          <w:bCs/>
          <w:color w:val="auto"/>
          <w:sz w:val="32"/>
          <w:szCs w:val="32"/>
          <w:highlight w:val="none"/>
        </w:rPr>
        <w:t xml:space="preserve"> 支出决算为</w:t>
      </w:r>
      <w:r>
        <w:rPr>
          <w:rStyle w:val="15"/>
          <w:rFonts w:hint="eastAsia" w:ascii="仿宋_GB2312" w:hAnsi="仿宋_GB2312" w:cs="仿宋_GB2312"/>
          <w:b w:val="0"/>
          <w:bCs/>
          <w:color w:val="auto"/>
          <w:sz w:val="32"/>
          <w:szCs w:val="32"/>
          <w:highlight w:val="none"/>
          <w:lang w:val="en-US" w:eastAsia="zh-CN"/>
        </w:rPr>
        <w:t>188.68</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p>
    <w:p>
      <w:pPr>
        <w:spacing w:line="600" w:lineRule="exact"/>
        <w:ind w:firstLine="643" w:firstLineChars="200"/>
        <w:rPr>
          <w:rFonts w:hint="eastAsia" w:ascii="仿宋_GB2312" w:hAnsi="仿宋_GB2312" w:eastAsia="仿宋_GB2312" w:cs="仿宋_GB2312"/>
          <w:b/>
          <w:color w:val="auto"/>
          <w:sz w:val="32"/>
          <w:szCs w:val="32"/>
          <w:highlight w:val="none"/>
        </w:rPr>
      </w:pPr>
      <w:r>
        <w:rPr>
          <w:rStyle w:val="15"/>
          <w:rFonts w:hint="eastAsia" w:ascii="仿宋_GB2312" w:hAnsi="仿宋_GB2312" w:eastAsia="仿宋_GB2312" w:cs="仿宋_GB2312"/>
          <w:bCs/>
          <w:color w:val="auto"/>
          <w:sz w:val="32"/>
          <w:szCs w:val="32"/>
          <w:highlight w:val="none"/>
        </w:rPr>
        <w:t>2.</w:t>
      </w:r>
      <w:r>
        <w:rPr>
          <w:rStyle w:val="15"/>
          <w:rFonts w:hint="eastAsia" w:ascii="仿宋_GB2312" w:hAnsi="仿宋"/>
          <w:bCs/>
          <w:color w:val="000000"/>
          <w:szCs w:val="32"/>
        </w:rPr>
        <w:t>一般公共服务（类）纪检监察事务（款）其他纪检监察事务支出（项）</w:t>
      </w:r>
      <w:r>
        <w:rPr>
          <w:rStyle w:val="15"/>
          <w:rFonts w:hint="eastAsia" w:ascii="仿宋_GB2312" w:hAnsi="仿宋_GB2312" w:eastAsia="仿宋_GB2312" w:cs="仿宋_GB2312"/>
          <w:bCs/>
          <w:color w:val="auto"/>
          <w:sz w:val="32"/>
          <w:szCs w:val="32"/>
          <w:highlight w:val="none"/>
        </w:rPr>
        <w:t>:</w:t>
      </w:r>
      <w:r>
        <w:rPr>
          <w:rStyle w:val="15"/>
          <w:rFonts w:hint="eastAsia" w:ascii="仿宋_GB2312" w:hAnsi="仿宋_GB2312" w:eastAsia="仿宋_GB2312" w:cs="仿宋_GB2312"/>
          <w:b w:val="0"/>
          <w:bCs/>
          <w:color w:val="auto"/>
          <w:sz w:val="32"/>
          <w:szCs w:val="32"/>
          <w:highlight w:val="none"/>
        </w:rPr>
        <w:t xml:space="preserve"> 支出决算为</w:t>
      </w:r>
      <w:r>
        <w:rPr>
          <w:rStyle w:val="15"/>
          <w:rFonts w:hint="eastAsia" w:ascii="仿宋_GB2312" w:hAnsi="仿宋_GB2312" w:cs="仿宋_GB2312"/>
          <w:b w:val="0"/>
          <w:bCs/>
          <w:color w:val="auto"/>
          <w:sz w:val="32"/>
          <w:szCs w:val="32"/>
          <w:highlight w:val="none"/>
          <w:lang w:val="en-US" w:eastAsia="zh-CN"/>
        </w:rPr>
        <w:t>541.91</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p>
    <w:p>
      <w:pPr>
        <w:spacing w:line="600" w:lineRule="exact"/>
        <w:ind w:firstLine="643" w:firstLineChars="200"/>
        <w:rPr>
          <w:rStyle w:val="15"/>
          <w:rFonts w:hint="eastAsia" w:ascii="仿宋_GB2312" w:hAnsi="仿宋_GB2312" w:eastAsia="仿宋_GB2312" w:cs="仿宋_GB2312"/>
          <w:bCs/>
          <w:color w:val="000000"/>
          <w:szCs w:val="32"/>
        </w:rPr>
      </w:pPr>
      <w:r>
        <w:rPr>
          <w:rStyle w:val="15"/>
          <w:rFonts w:hint="eastAsia" w:ascii="仿宋_GB2312" w:hAnsi="仿宋_GB2312" w:eastAsia="仿宋_GB2312" w:cs="仿宋_GB2312"/>
          <w:bCs/>
          <w:color w:val="auto"/>
          <w:sz w:val="32"/>
          <w:szCs w:val="32"/>
          <w:highlight w:val="none"/>
        </w:rPr>
        <w:t>3.</w:t>
      </w:r>
      <w:r>
        <w:rPr>
          <w:rStyle w:val="15"/>
          <w:rFonts w:hint="eastAsia" w:ascii="仿宋_GB2312" w:hAnsi="仿宋_GB2312" w:eastAsia="仿宋_GB2312" w:cs="仿宋_GB2312"/>
          <w:bCs/>
          <w:color w:val="000000"/>
          <w:szCs w:val="32"/>
        </w:rPr>
        <w:t>社会保障和就业（类）行政事业单位养老支出（款）</w:t>
      </w:r>
    </w:p>
    <w:p>
      <w:pPr>
        <w:spacing w:line="600" w:lineRule="exact"/>
        <w:rPr>
          <w:rFonts w:hint="eastAsia" w:ascii="仿宋_GB2312" w:hAnsi="仿宋_GB2312" w:eastAsia="仿宋_GB2312" w:cs="仿宋_GB2312"/>
          <w:b/>
          <w:color w:val="auto"/>
          <w:sz w:val="32"/>
          <w:szCs w:val="32"/>
          <w:highlight w:val="none"/>
        </w:rPr>
      </w:pPr>
      <w:r>
        <w:rPr>
          <w:rStyle w:val="15"/>
          <w:rFonts w:hint="eastAsia" w:ascii="仿宋_GB2312" w:hAnsi="仿宋_GB2312" w:eastAsia="仿宋_GB2312" w:cs="仿宋_GB2312"/>
          <w:bCs/>
          <w:color w:val="000000"/>
          <w:szCs w:val="32"/>
        </w:rPr>
        <w:t>机关事业单位基本养老保险缴费支出（项）:</w:t>
      </w:r>
      <w:r>
        <w:rPr>
          <w:rStyle w:val="15"/>
          <w:rFonts w:hint="eastAsia" w:ascii="仿宋_GB2312" w:hAnsi="仿宋_GB2312" w:eastAsia="仿宋_GB2312" w:cs="仿宋_GB2312"/>
          <w:b w:val="0"/>
          <w:bCs/>
          <w:color w:val="auto"/>
          <w:sz w:val="32"/>
          <w:szCs w:val="32"/>
          <w:highlight w:val="none"/>
        </w:rPr>
        <w:t xml:space="preserve"> 支出决算为</w:t>
      </w:r>
      <w:r>
        <w:rPr>
          <w:rStyle w:val="15"/>
          <w:rFonts w:hint="eastAsia" w:ascii="仿宋_GB2312" w:hAnsi="仿宋_GB2312" w:cs="仿宋_GB2312"/>
          <w:b w:val="0"/>
          <w:bCs/>
          <w:color w:val="auto"/>
          <w:sz w:val="32"/>
          <w:szCs w:val="32"/>
          <w:highlight w:val="none"/>
          <w:lang w:val="en-US" w:eastAsia="zh-CN"/>
        </w:rPr>
        <w:t>24.70</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p>
    <w:p>
      <w:pPr>
        <w:spacing w:line="600" w:lineRule="atLeast"/>
        <w:ind w:firstLine="643" w:firstLineChars="200"/>
        <w:rPr>
          <w:rFonts w:ascii="仿宋_GB2312" w:hAnsi="仿宋"/>
          <w:b/>
          <w:bCs/>
          <w:szCs w:val="32"/>
        </w:rPr>
      </w:pPr>
      <w:r>
        <w:rPr>
          <w:rStyle w:val="15"/>
          <w:rFonts w:hint="eastAsia" w:ascii="仿宋_GB2312" w:hAnsi="仿宋_GB2312" w:eastAsia="仿宋_GB2312" w:cs="仿宋_GB2312"/>
          <w:bCs/>
          <w:color w:val="auto"/>
          <w:sz w:val="32"/>
          <w:szCs w:val="32"/>
          <w:highlight w:val="none"/>
        </w:rPr>
        <w:t>4.</w:t>
      </w:r>
      <w:r>
        <w:rPr>
          <w:rStyle w:val="15"/>
          <w:rFonts w:hint="eastAsia" w:ascii="仿宋_GB2312" w:hAnsi="仿宋"/>
          <w:bCs/>
          <w:color w:val="000000"/>
          <w:szCs w:val="32"/>
        </w:rPr>
        <w:t>社会保障和就业（类）</w:t>
      </w:r>
      <w:r>
        <w:rPr>
          <w:rFonts w:hint="eastAsia" w:ascii="仿宋_GB2312" w:hAnsi="仿宋"/>
          <w:b/>
          <w:bCs/>
          <w:szCs w:val="32"/>
        </w:rPr>
        <w:t>行政事业单位养老支出</w:t>
      </w:r>
      <w:r>
        <w:rPr>
          <w:rStyle w:val="15"/>
          <w:rFonts w:hint="eastAsia" w:ascii="仿宋_GB2312" w:hAnsi="仿宋"/>
          <w:b/>
          <w:bCs/>
          <w:color w:val="000000"/>
          <w:szCs w:val="32"/>
        </w:rPr>
        <w:t>（款）</w:t>
      </w:r>
    </w:p>
    <w:p>
      <w:pPr>
        <w:spacing w:line="600" w:lineRule="exact"/>
        <w:rPr>
          <w:rFonts w:hint="eastAsia" w:ascii="仿宋_GB2312" w:hAnsi="仿宋_GB2312" w:eastAsia="仿宋_GB2312" w:cs="仿宋_GB2312"/>
          <w:b/>
          <w:color w:val="auto"/>
          <w:sz w:val="32"/>
          <w:szCs w:val="32"/>
          <w:highlight w:val="none"/>
        </w:rPr>
      </w:pPr>
      <w:r>
        <w:rPr>
          <w:rFonts w:hint="eastAsia" w:ascii="仿宋_GB2312" w:hAnsi="仿宋"/>
          <w:b/>
          <w:bCs/>
          <w:szCs w:val="32"/>
        </w:rPr>
        <w:t>机关事业单位职业年金缴费支出</w:t>
      </w:r>
      <w:r>
        <w:rPr>
          <w:rStyle w:val="15"/>
          <w:rFonts w:hint="eastAsia" w:ascii="仿宋_GB2312" w:hAnsi="仿宋"/>
          <w:b/>
          <w:bCs/>
          <w:color w:val="000000"/>
          <w:szCs w:val="32"/>
        </w:rPr>
        <w:t>（项）</w:t>
      </w:r>
      <w:r>
        <w:rPr>
          <w:rStyle w:val="15"/>
          <w:rFonts w:hint="eastAsia" w:ascii="仿宋_GB2312" w:hAnsi="仿宋_GB2312" w:eastAsia="仿宋_GB2312" w:cs="仿宋_GB2312"/>
          <w:b/>
          <w:bCs/>
          <w:color w:val="auto"/>
          <w:sz w:val="32"/>
          <w:szCs w:val="32"/>
          <w:highlight w:val="none"/>
        </w:rPr>
        <w:t>:</w:t>
      </w:r>
      <w:r>
        <w:rPr>
          <w:rStyle w:val="15"/>
          <w:rFonts w:hint="eastAsia" w:ascii="仿宋_GB2312" w:hAnsi="仿宋_GB2312" w:eastAsia="仿宋_GB2312" w:cs="仿宋_GB2312"/>
          <w:b w:val="0"/>
          <w:bCs/>
          <w:color w:val="auto"/>
          <w:sz w:val="32"/>
          <w:szCs w:val="32"/>
          <w:highlight w:val="none"/>
        </w:rPr>
        <w:t xml:space="preserve"> 支出决算为</w:t>
      </w:r>
      <w:r>
        <w:rPr>
          <w:rStyle w:val="15"/>
          <w:rFonts w:hint="eastAsia" w:ascii="仿宋_GB2312" w:hAnsi="仿宋_GB2312" w:cs="仿宋_GB2312"/>
          <w:b w:val="0"/>
          <w:bCs/>
          <w:color w:val="auto"/>
          <w:sz w:val="32"/>
          <w:szCs w:val="32"/>
          <w:highlight w:val="none"/>
          <w:lang w:val="en-US" w:eastAsia="zh-CN"/>
        </w:rPr>
        <w:t>12.35</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p>
    <w:p>
      <w:pPr>
        <w:spacing w:line="600" w:lineRule="exact"/>
        <w:ind w:firstLine="643" w:firstLineChars="200"/>
        <w:rPr>
          <w:rFonts w:hint="eastAsia" w:ascii="仿宋_GB2312" w:hAnsi="仿宋_GB2312" w:eastAsia="仿宋_GB2312" w:cs="仿宋_GB2312"/>
          <w:b/>
          <w:color w:val="auto"/>
          <w:sz w:val="32"/>
          <w:szCs w:val="32"/>
          <w:highlight w:val="none"/>
        </w:rPr>
      </w:pPr>
      <w:r>
        <w:rPr>
          <w:rStyle w:val="15"/>
          <w:rFonts w:hint="eastAsia" w:ascii="仿宋_GB2312" w:hAnsi="仿宋_GB2312" w:eastAsia="仿宋_GB2312" w:cs="仿宋_GB2312"/>
          <w:bCs/>
          <w:color w:val="auto"/>
          <w:sz w:val="32"/>
          <w:szCs w:val="32"/>
          <w:highlight w:val="none"/>
        </w:rPr>
        <w:t>5.</w:t>
      </w:r>
      <w:r>
        <w:rPr>
          <w:rFonts w:hint="eastAsia" w:ascii="仿宋_GB2312" w:hAnsi="仿宋"/>
          <w:b/>
          <w:bCs/>
          <w:color w:val="000000"/>
          <w:szCs w:val="32"/>
        </w:rPr>
        <w:t>卫生健康</w:t>
      </w:r>
      <w:r>
        <w:rPr>
          <w:rStyle w:val="15"/>
          <w:rFonts w:hint="eastAsia" w:ascii="仿宋_GB2312" w:hAnsi="仿宋"/>
          <w:bCs/>
          <w:color w:val="000000"/>
          <w:szCs w:val="32"/>
        </w:rPr>
        <w:t>（类）行政事业单位医疗（款）行政事业单位医疗（项）</w:t>
      </w:r>
      <w:r>
        <w:rPr>
          <w:rStyle w:val="15"/>
          <w:rFonts w:hint="eastAsia" w:ascii="仿宋_GB2312" w:hAnsi="仿宋_GB2312" w:eastAsia="仿宋_GB2312" w:cs="仿宋_GB2312"/>
          <w:bCs/>
          <w:color w:val="auto"/>
          <w:sz w:val="32"/>
          <w:szCs w:val="32"/>
          <w:highlight w:val="none"/>
        </w:rPr>
        <w:t>:</w:t>
      </w:r>
      <w:r>
        <w:rPr>
          <w:rStyle w:val="15"/>
          <w:rFonts w:hint="eastAsia" w:ascii="仿宋_GB2312" w:hAnsi="仿宋_GB2312" w:eastAsia="仿宋_GB2312" w:cs="仿宋_GB2312"/>
          <w:b w:val="0"/>
          <w:bCs/>
          <w:color w:val="auto"/>
          <w:sz w:val="32"/>
          <w:szCs w:val="32"/>
          <w:highlight w:val="none"/>
        </w:rPr>
        <w:t xml:space="preserve"> 支出决算为</w:t>
      </w:r>
      <w:r>
        <w:rPr>
          <w:rStyle w:val="15"/>
          <w:rFonts w:hint="eastAsia" w:ascii="仿宋_GB2312" w:hAnsi="仿宋_GB2312" w:cs="仿宋_GB2312"/>
          <w:b w:val="0"/>
          <w:bCs/>
          <w:color w:val="auto"/>
          <w:sz w:val="32"/>
          <w:szCs w:val="32"/>
          <w:highlight w:val="none"/>
          <w:lang w:val="en-US" w:eastAsia="zh-CN"/>
        </w:rPr>
        <w:t>13.90</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p>
    <w:p>
      <w:pPr>
        <w:spacing w:line="600" w:lineRule="exact"/>
        <w:ind w:firstLine="643" w:firstLineChars="200"/>
        <w:rPr>
          <w:rFonts w:ascii="仿宋" w:hAnsi="仿宋" w:eastAsia="仿宋"/>
          <w:b/>
          <w:color w:val="000000"/>
          <w:sz w:val="32"/>
          <w:szCs w:val="32"/>
        </w:rPr>
      </w:pPr>
      <w:r>
        <w:rPr>
          <w:rStyle w:val="15"/>
          <w:rFonts w:hint="eastAsia" w:ascii="仿宋_GB2312" w:hAnsi="仿宋_GB2312" w:eastAsia="仿宋_GB2312" w:cs="仿宋_GB2312"/>
          <w:bCs/>
          <w:color w:val="auto"/>
          <w:sz w:val="32"/>
          <w:szCs w:val="32"/>
          <w:highlight w:val="none"/>
        </w:rPr>
        <w:t>6.</w:t>
      </w:r>
      <w:r>
        <w:rPr>
          <w:rFonts w:hint="eastAsia" w:ascii="仿宋_GB2312" w:hAnsi="仿宋"/>
          <w:b/>
          <w:color w:val="333333"/>
          <w:szCs w:val="32"/>
        </w:rPr>
        <w:t>住房保障支出（类）</w:t>
      </w:r>
      <w:r>
        <w:rPr>
          <w:rFonts w:hint="eastAsia" w:ascii="仿宋_GB2312" w:hAnsi="仿宋"/>
          <w:b/>
          <w:szCs w:val="32"/>
        </w:rPr>
        <w:t>住房改革支出</w:t>
      </w:r>
      <w:r>
        <w:rPr>
          <w:rFonts w:hint="eastAsia" w:ascii="仿宋_GB2312" w:hAnsi="仿宋"/>
          <w:b/>
          <w:color w:val="333333"/>
          <w:szCs w:val="32"/>
        </w:rPr>
        <w:t>（款）</w:t>
      </w:r>
      <w:r>
        <w:rPr>
          <w:rFonts w:hint="eastAsia" w:ascii="仿宋_GB2312" w:hAnsi="仿宋"/>
          <w:b/>
          <w:szCs w:val="32"/>
        </w:rPr>
        <w:t>住房公积金</w:t>
      </w:r>
      <w:r>
        <w:rPr>
          <w:rFonts w:hint="eastAsia" w:ascii="仿宋_GB2312" w:hAnsi="仿宋"/>
          <w:b/>
          <w:color w:val="333333"/>
          <w:szCs w:val="32"/>
        </w:rPr>
        <w:t>（项）</w:t>
      </w:r>
      <w:r>
        <w:rPr>
          <w:rStyle w:val="15"/>
          <w:rFonts w:hint="eastAsia" w:ascii="仿宋_GB2312" w:hAnsi="仿宋_GB2312" w:eastAsia="仿宋_GB2312" w:cs="仿宋_GB2312"/>
          <w:bCs/>
          <w:color w:val="auto"/>
          <w:sz w:val="32"/>
          <w:szCs w:val="32"/>
          <w:highlight w:val="none"/>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cs="仿宋_GB2312"/>
          <w:b w:val="0"/>
          <w:bCs/>
          <w:color w:val="auto"/>
          <w:sz w:val="32"/>
          <w:szCs w:val="32"/>
          <w:highlight w:val="none"/>
          <w:lang w:val="en-US" w:eastAsia="zh-CN"/>
        </w:rPr>
        <w:t>19.16</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p>
    <w:p>
      <w:pPr>
        <w:tabs>
          <w:tab w:val="right" w:pos="8306"/>
        </w:tabs>
        <w:spacing w:line="600" w:lineRule="exact"/>
        <w:ind w:firstLine="640"/>
        <w:outlineLvl w:val="1"/>
        <w:rPr>
          <w:rStyle w:val="18"/>
        </w:rPr>
      </w:pPr>
      <w:bookmarkStart w:id="33" w:name="_Toc15377214"/>
      <w:bookmarkStart w:id="34" w:name="_Toc30529"/>
      <w:bookmarkStart w:id="35" w:name="_Toc693483090"/>
      <w:bookmarkStart w:id="36"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bookmarkEnd w:id="33"/>
      <w:bookmarkEnd w:id="34"/>
      <w:bookmarkEnd w:id="35"/>
      <w:bookmarkEnd w:id="36"/>
      <w:r>
        <w:rPr>
          <w:rStyle w:val="18"/>
          <w:rFonts w:ascii="黑体" w:hAnsi="黑体" w:eastAsia="黑体"/>
          <w:b w:val="0"/>
        </w:rPr>
        <w:tab/>
      </w:r>
    </w:p>
    <w:p>
      <w:pPr>
        <w:spacing w:line="600" w:lineRule="exact"/>
        <w:ind w:firstLine="64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年一般公共预算财政拨款基本支出</w:t>
      </w:r>
      <w:r>
        <w:rPr>
          <w:rFonts w:hint="eastAsia" w:ascii="仿宋_GB2312" w:hAnsi="仿宋_GB2312" w:cs="仿宋_GB2312"/>
          <w:color w:val="auto"/>
          <w:sz w:val="32"/>
          <w:szCs w:val="32"/>
          <w:highlight w:val="none"/>
          <w:lang w:val="en-US" w:eastAsia="zh-CN"/>
        </w:rPr>
        <w:t>186.68</w:t>
      </w:r>
      <w:r>
        <w:rPr>
          <w:rFonts w:hint="eastAsia" w:ascii="仿宋_GB2312" w:hAnsi="仿宋_GB2312" w:eastAsia="仿宋_GB2312" w:cs="仿宋_GB2312"/>
          <w:color w:val="auto"/>
          <w:sz w:val="32"/>
          <w:szCs w:val="32"/>
          <w:highlight w:val="none"/>
        </w:rPr>
        <w:t>万元，其中：</w:t>
      </w:r>
    </w:p>
    <w:p>
      <w:pPr>
        <w:spacing w:line="600" w:lineRule="exact"/>
        <w:ind w:firstLine="64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人员经费</w:t>
      </w:r>
      <w:r>
        <w:rPr>
          <w:rFonts w:hint="eastAsia" w:ascii="仿宋_GB2312" w:hAnsi="仿宋_GB2312" w:eastAsia="仿宋_GB2312" w:cs="仿宋_GB2312"/>
          <w:color w:val="auto"/>
          <w:sz w:val="32"/>
          <w:szCs w:val="32"/>
          <w:highlight w:val="none"/>
          <w:lang w:val="en-US" w:eastAsia="zh-CN"/>
        </w:rPr>
        <w:t>164.22</w:t>
      </w:r>
      <w:r>
        <w:rPr>
          <w:rFonts w:hint="eastAsia" w:ascii="仿宋_GB2312" w:hAnsi="仿宋_GB2312" w:eastAsia="仿宋_GB2312" w:cs="仿宋_GB2312"/>
          <w:color w:val="auto"/>
          <w:sz w:val="32"/>
          <w:szCs w:val="32"/>
          <w:highlight w:val="none"/>
        </w:rPr>
        <w:t>万元，主要包括：基本工资、津贴补贴、绩效工资、机关事业单位基本养老保险缴费、职业年金缴费、</w:t>
      </w:r>
      <w:r>
        <w:rPr>
          <w:rFonts w:hint="eastAsia" w:ascii="仿宋_GB2312" w:hAnsi="仿宋_GB2312" w:eastAsia="仿宋_GB2312" w:cs="仿宋_GB2312"/>
          <w:color w:val="auto"/>
          <w:sz w:val="32"/>
          <w:szCs w:val="32"/>
          <w:highlight w:val="none"/>
          <w:lang w:eastAsia="zh-CN"/>
        </w:rPr>
        <w:t>职工基本医疗保险缴费、</w:t>
      </w:r>
      <w:r>
        <w:rPr>
          <w:rFonts w:hint="eastAsia" w:ascii="仿宋_GB2312" w:hAnsi="仿宋_GB2312" w:eastAsia="仿宋_GB2312" w:cs="仿宋_GB2312"/>
          <w:color w:val="auto"/>
          <w:sz w:val="32"/>
          <w:szCs w:val="32"/>
          <w:highlight w:val="none"/>
        </w:rPr>
        <w:t>其他社会保障缴费、住房公积金等</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公用经费</w:t>
      </w:r>
      <w:r>
        <w:rPr>
          <w:rFonts w:hint="eastAsia" w:ascii="仿宋_GB2312" w:hAnsi="仿宋_GB2312" w:eastAsia="仿宋_GB2312" w:cs="仿宋_GB2312"/>
          <w:color w:val="auto"/>
          <w:sz w:val="32"/>
          <w:szCs w:val="32"/>
          <w:highlight w:val="none"/>
          <w:lang w:val="en-US" w:eastAsia="zh-CN"/>
        </w:rPr>
        <w:t>22.46</w:t>
      </w:r>
      <w:r>
        <w:rPr>
          <w:rFonts w:hint="eastAsia" w:ascii="仿宋_GB2312" w:hAnsi="仿宋_GB2312" w:eastAsia="仿宋_GB2312" w:cs="仿宋_GB2312"/>
          <w:color w:val="auto"/>
          <w:sz w:val="32"/>
          <w:szCs w:val="32"/>
          <w:highlight w:val="none"/>
        </w:rPr>
        <w:t>万元，主要包括：办公费、手续费、水费、邮电费、差旅费、工会经费、公务用车运行维护费、其他商品和服务支出等</w:t>
      </w:r>
      <w:r>
        <w:rPr>
          <w:rFonts w:hint="eastAsia" w:ascii="仿宋_GB2312" w:hAnsi="仿宋_GB2312" w:eastAsia="仿宋_GB2312" w:cs="仿宋_GB2312"/>
          <w:color w:val="auto"/>
          <w:sz w:val="32"/>
          <w:szCs w:val="32"/>
          <w:highlight w:val="none"/>
        </w:rPr>
        <w:t>。</w:t>
      </w:r>
    </w:p>
    <w:p>
      <w:pPr>
        <w:spacing w:line="600" w:lineRule="exact"/>
        <w:ind w:firstLine="640"/>
        <w:outlineLvl w:val="1"/>
        <w:rPr>
          <w:rStyle w:val="18"/>
          <w:rFonts w:ascii="黑体" w:hAnsi="黑体" w:eastAsia="黑体"/>
          <w:b w:val="0"/>
        </w:rPr>
      </w:pPr>
      <w:bookmarkStart w:id="37" w:name="_Toc15377215"/>
      <w:bookmarkStart w:id="38" w:name="_Toc15396609"/>
      <w:bookmarkStart w:id="39" w:name="_Toc2084050475"/>
      <w:bookmarkStart w:id="40" w:name="_Toc98"/>
      <w:r>
        <w:rPr>
          <w:rFonts w:hint="eastAsia" w:ascii="黑体" w:eastAsia="黑体"/>
          <w:color w:val="000000"/>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37"/>
      <w:bookmarkEnd w:id="38"/>
      <w:bookmarkEnd w:id="39"/>
      <w:bookmarkEnd w:id="40"/>
    </w:p>
    <w:p>
      <w:pPr>
        <w:spacing w:line="600" w:lineRule="exact"/>
        <w:ind w:firstLine="640"/>
        <w:outlineLvl w:val="2"/>
        <w:rPr>
          <w:rFonts w:hint="eastAsia" w:ascii="仿宋_GB2312" w:hAnsi="仿宋_GB2312" w:eastAsia="仿宋_GB2312" w:cs="仿宋_GB2312"/>
          <w:b/>
          <w:color w:val="000000"/>
          <w:sz w:val="32"/>
          <w:szCs w:val="32"/>
        </w:rPr>
      </w:pPr>
      <w:bookmarkStart w:id="41" w:name="_Toc15377216"/>
      <w:r>
        <w:rPr>
          <w:rFonts w:hint="eastAsia" w:ascii="仿宋_GB2312" w:hAnsi="仿宋_GB2312" w:eastAsia="仿宋_GB2312" w:cs="仿宋_GB2312"/>
          <w:b/>
          <w:color w:val="000000"/>
          <w:sz w:val="32"/>
          <w:szCs w:val="32"/>
        </w:rPr>
        <w:t>（一）“三公”经费财政拨款支出决算总体情况说明</w:t>
      </w:r>
      <w:bookmarkEnd w:id="41"/>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年“三公”经费财政拨款支出决算为</w:t>
      </w:r>
      <w:r>
        <w:rPr>
          <w:rFonts w:hint="eastAsia" w:ascii="仿宋_GB2312" w:hAnsi="仿宋_GB2312" w:cs="仿宋_GB2312"/>
          <w:color w:val="auto"/>
          <w:sz w:val="32"/>
          <w:szCs w:val="32"/>
          <w:highlight w:val="none"/>
          <w:lang w:val="en-US" w:eastAsia="zh-CN"/>
        </w:rPr>
        <w:t>2.69</w:t>
      </w:r>
      <w:r>
        <w:rPr>
          <w:rFonts w:hint="eastAsia" w:ascii="仿宋_GB2312" w:hAnsi="仿宋_GB2312" w:eastAsia="仿宋_GB2312" w:cs="仿宋_GB2312"/>
          <w:color w:val="auto"/>
          <w:sz w:val="32"/>
          <w:szCs w:val="32"/>
          <w:highlight w:val="none"/>
        </w:rPr>
        <w:t>万元，完成预算</w:t>
      </w:r>
      <w:r>
        <w:rPr>
          <w:rFonts w:hint="eastAsia" w:ascii="仿宋_GB2312" w:hAnsi="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较上年</w:t>
      </w:r>
      <w:r>
        <w:rPr>
          <w:rFonts w:hint="eastAsia" w:ascii="仿宋_GB2312" w:hAnsi="仿宋_GB2312" w:eastAsia="仿宋_GB2312" w:cs="仿宋_GB2312"/>
          <w:color w:val="auto"/>
          <w:sz w:val="32"/>
          <w:szCs w:val="32"/>
          <w:highlight w:val="none"/>
          <w:lang w:val="en-US" w:eastAsia="zh-CN"/>
        </w:rPr>
        <w:t>减少</w:t>
      </w:r>
      <w:r>
        <w:rPr>
          <w:rFonts w:hint="eastAsia" w:ascii="仿宋_GB2312" w:hAnsi="仿宋_GB2312" w:cs="仿宋_GB2312"/>
          <w:color w:val="auto"/>
          <w:sz w:val="32"/>
          <w:szCs w:val="32"/>
          <w:highlight w:val="none"/>
          <w:lang w:val="en-US" w:eastAsia="zh-CN"/>
        </w:rPr>
        <w:t>22.79</w:t>
      </w:r>
      <w:r>
        <w:rPr>
          <w:rFonts w:hint="eastAsia" w:ascii="仿宋_GB2312" w:hAnsi="仿宋_GB2312" w:eastAsia="仿宋_GB2312" w:cs="仿宋_GB2312"/>
          <w:color w:val="auto"/>
          <w:sz w:val="32"/>
          <w:szCs w:val="32"/>
          <w:highlight w:val="none"/>
          <w:lang w:val="en-US" w:eastAsia="zh-CN"/>
        </w:rPr>
        <w:t>万元，下降</w:t>
      </w:r>
      <w:r>
        <w:rPr>
          <w:rFonts w:hint="eastAsia" w:ascii="仿宋_GB2312" w:hAnsi="仿宋_GB2312" w:cs="仿宋_GB2312"/>
          <w:color w:val="auto"/>
          <w:sz w:val="32"/>
          <w:szCs w:val="32"/>
          <w:highlight w:val="none"/>
          <w:lang w:val="en-US" w:eastAsia="zh-CN"/>
        </w:rPr>
        <w:t>89.44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决算数与预算数持平。</w:t>
      </w:r>
    </w:p>
    <w:p>
      <w:pPr>
        <w:spacing w:line="600" w:lineRule="exact"/>
        <w:ind w:firstLine="640"/>
        <w:outlineLvl w:val="2"/>
        <w:rPr>
          <w:rFonts w:hint="eastAsia" w:ascii="仿宋_GB2312" w:hAnsi="仿宋_GB2312" w:eastAsia="仿宋_GB2312" w:cs="仿宋_GB2312"/>
          <w:b/>
          <w:color w:val="000000"/>
          <w:sz w:val="32"/>
          <w:szCs w:val="32"/>
        </w:rPr>
      </w:pPr>
      <w:bookmarkStart w:id="42" w:name="_Toc15377217"/>
      <w:r>
        <w:rPr>
          <w:rFonts w:hint="eastAsia" w:ascii="仿宋_GB2312" w:hAnsi="仿宋_GB2312" w:eastAsia="仿宋_GB2312" w:cs="仿宋_GB2312"/>
          <w:b/>
          <w:color w:val="000000"/>
          <w:sz w:val="32"/>
          <w:szCs w:val="32"/>
        </w:rPr>
        <w:t>（二）“三公”经费财政拨款支出决算具体情况说明</w:t>
      </w:r>
      <w:bookmarkEnd w:id="42"/>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年“三公”经费财政拨款支出决算中，因公出国（境）费支出决算</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%；公务用车购置及运行维护费支出决算</w:t>
      </w:r>
      <w:r>
        <w:rPr>
          <w:rFonts w:hint="eastAsia" w:ascii="仿宋_GB2312" w:hAnsi="仿宋_GB2312" w:cs="仿宋_GB2312"/>
          <w:color w:val="auto"/>
          <w:sz w:val="32"/>
          <w:szCs w:val="32"/>
          <w:highlight w:val="none"/>
          <w:lang w:val="en-US" w:eastAsia="zh-CN"/>
        </w:rPr>
        <w:t>2.69</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%；公务接待费支出决算</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%。具体情况如下：</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（图7：“三公”经费财政拨款支出结构）（饼状图）</w:t>
      </w:r>
    </w:p>
    <w:p>
      <w:pPr>
        <w:pStyle w:val="10"/>
        <w:jc w:val="center"/>
        <w:rPr>
          <w:rFonts w:hint="eastAsia"/>
        </w:rPr>
      </w:pPr>
      <w:r>
        <w:rPr>
          <w:rFonts w:hint="eastAsia" w:hAnsi="仿宋_GB2312" w:cs="仿宋_GB2312"/>
          <w:sz w:val="32"/>
          <w:szCs w:val="32"/>
          <w:lang w:val="en-US" w:eastAsia="zh-CN"/>
        </w:rPr>
        <w:t xml:space="preserve"> </w:t>
      </w:r>
      <w:r>
        <w:rPr>
          <w:rFonts w:hint="eastAsia" w:hAnsi="仿宋_GB2312" w:cs="仿宋_GB2312"/>
          <w:sz w:val="32"/>
          <w:szCs w:val="32"/>
        </w:rPr>
        <w:drawing>
          <wp:inline distT="0" distB="0" distL="114300" distR="114300">
            <wp:extent cx="3876675" cy="2207895"/>
            <wp:effectExtent l="0" t="0" r="9525" b="1905"/>
            <wp:docPr id="20" name="图片 4" descr="BP_H{9V$]60VVAC]2D6GU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descr="BP_H{9V$]60VVAC]2D6GU0A"/>
                    <pic:cNvPicPr>
                      <a:picLocks noChangeAspect="1"/>
                    </pic:cNvPicPr>
                  </pic:nvPicPr>
                  <pic:blipFill>
                    <a:blip r:embed="rId11"/>
                    <a:stretch>
                      <a:fillRect/>
                    </a:stretch>
                  </pic:blipFill>
                  <pic:spPr>
                    <a:xfrm>
                      <a:off x="0" y="0"/>
                      <a:ext cx="3876675" cy="2207895"/>
                    </a:xfrm>
                    <a:prstGeom prst="rect">
                      <a:avLst/>
                    </a:prstGeom>
                    <a:noFill/>
                    <a:ln>
                      <a:noFill/>
                    </a:ln>
                  </pic:spPr>
                </pic:pic>
              </a:graphicData>
            </a:graphic>
          </wp:inline>
        </w:drawing>
      </w:r>
    </w:p>
    <w:p>
      <w:pPr>
        <w:spacing w:line="600" w:lineRule="exact"/>
        <w:ind w:firstLine="64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1.因公出国（境）经费支出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Style w:val="15"/>
          <w:rFonts w:hint="eastAsia" w:ascii="仿宋_GB2312" w:hAnsi="仿宋_GB2312" w:eastAsia="仿宋_GB2312" w:cs="仿宋_GB2312"/>
          <w:b w:val="0"/>
          <w:bCs/>
          <w:color w:val="auto"/>
          <w:sz w:val="32"/>
          <w:szCs w:val="32"/>
          <w:highlight w:val="none"/>
        </w:rPr>
        <w:t>完成预算</w:t>
      </w:r>
      <w:r>
        <w:rPr>
          <w:rStyle w:val="15"/>
          <w:rFonts w:hint="eastAsia" w:ascii="仿宋_GB2312" w:hAnsi="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全年安排因公出国（境）团组</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次，出国（境）</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人。因公出国（境）支出决算比</w:t>
      </w:r>
      <w:r>
        <w:rPr>
          <w:rFonts w:hint="eastAsia" w:ascii="仿宋_GB2312" w:hAnsi="仿宋_GB2312" w:cs="仿宋_GB2312"/>
          <w:color w:val="auto"/>
          <w:sz w:val="32"/>
          <w:szCs w:val="32"/>
          <w:highlight w:val="none"/>
          <w:lang w:eastAsia="zh-CN"/>
        </w:rPr>
        <w:t>2022</w:t>
      </w:r>
      <w:r>
        <w:rPr>
          <w:rFonts w:hint="eastAsia" w:ascii="仿宋_GB2312" w:hAnsi="仿宋_GB2312" w:eastAsia="仿宋_GB2312" w:cs="仿宋_GB2312"/>
          <w:color w:val="auto"/>
          <w:sz w:val="32"/>
          <w:szCs w:val="32"/>
          <w:highlight w:val="none"/>
        </w:rPr>
        <w:t>年</w:t>
      </w:r>
      <w:r>
        <w:rPr>
          <w:rFonts w:hint="eastAsia" w:ascii="仿宋_GB2312" w:hAnsi="仿宋_GB2312" w:cs="仿宋_GB2312"/>
          <w:color w:val="auto"/>
          <w:sz w:val="32"/>
          <w:szCs w:val="32"/>
          <w:highlight w:val="none"/>
          <w:lang w:eastAsia="zh-CN"/>
        </w:rPr>
        <w:t>持平</w:t>
      </w:r>
      <w:r>
        <w:rPr>
          <w:rFonts w:hint="eastAsia" w:ascii="仿宋_GB2312" w:hAnsi="仿宋_GB2312" w:eastAsia="仿宋_GB2312" w:cs="仿宋_GB2312"/>
          <w:color w:val="auto"/>
          <w:sz w:val="32"/>
          <w:szCs w:val="32"/>
          <w:highlight w:val="none"/>
        </w:rPr>
        <w:t>。</w:t>
      </w:r>
    </w:p>
    <w:p>
      <w:pPr>
        <w:spacing w:line="600" w:lineRule="exact"/>
        <w:ind w:firstLine="64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2.公务用车购置及运行维护费支出</w:t>
      </w:r>
      <w:r>
        <w:rPr>
          <w:rFonts w:hint="eastAsia" w:ascii="仿宋_GB2312" w:hAnsi="仿宋_GB2312" w:cs="仿宋_GB2312"/>
          <w:color w:val="auto"/>
          <w:sz w:val="32"/>
          <w:szCs w:val="32"/>
          <w:highlight w:val="none"/>
          <w:lang w:val="en-US" w:eastAsia="zh-CN"/>
        </w:rPr>
        <w:t>2.69</w:t>
      </w:r>
      <w:r>
        <w:rPr>
          <w:rFonts w:hint="eastAsia" w:ascii="仿宋_GB2312" w:hAnsi="仿宋_GB2312" w:eastAsia="仿宋_GB2312" w:cs="仿宋_GB2312"/>
          <w:color w:val="auto"/>
          <w:sz w:val="32"/>
          <w:szCs w:val="32"/>
          <w:highlight w:val="none"/>
        </w:rPr>
        <w:t>万元</w:t>
      </w:r>
      <w:r>
        <w:rPr>
          <w:rFonts w:hint="eastAsia" w:ascii="仿宋_GB2312" w:hAnsi="仿宋_GB2312" w:cs="仿宋_GB2312"/>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完成预算</w:t>
      </w:r>
      <w:r>
        <w:rPr>
          <w:rStyle w:val="15"/>
          <w:rFonts w:hint="eastAsia" w:ascii="仿宋_GB2312" w:hAnsi="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公务用车购置及运行维护费支出决算比</w:t>
      </w:r>
      <w:r>
        <w:rPr>
          <w:rFonts w:hint="eastAsia" w:ascii="仿宋_GB2312" w:hAnsi="仿宋_GB2312" w:cs="仿宋_GB2312"/>
          <w:color w:val="auto"/>
          <w:sz w:val="32"/>
          <w:szCs w:val="32"/>
          <w:highlight w:val="none"/>
          <w:lang w:eastAsia="zh-CN"/>
        </w:rPr>
        <w:t>2022</w:t>
      </w:r>
      <w:r>
        <w:rPr>
          <w:rFonts w:hint="eastAsia" w:ascii="仿宋_GB2312" w:hAnsi="仿宋_GB2312" w:eastAsia="仿宋_GB2312" w:cs="仿宋_GB2312"/>
          <w:color w:val="auto"/>
          <w:sz w:val="32"/>
          <w:szCs w:val="32"/>
          <w:highlight w:val="none"/>
        </w:rPr>
        <w:t>年减少</w:t>
      </w:r>
      <w:r>
        <w:rPr>
          <w:rFonts w:hint="eastAsia" w:ascii="仿宋_GB2312" w:hAnsi="仿宋_GB2312" w:cs="仿宋_GB2312"/>
          <w:color w:val="auto"/>
          <w:sz w:val="32"/>
          <w:szCs w:val="32"/>
          <w:highlight w:val="none"/>
          <w:lang w:val="en-US" w:eastAsia="zh-CN"/>
        </w:rPr>
        <w:t>22.79</w:t>
      </w:r>
      <w:r>
        <w:rPr>
          <w:rFonts w:hint="eastAsia" w:ascii="仿宋_GB2312" w:hAnsi="仿宋_GB2312" w:eastAsia="仿宋_GB2312" w:cs="仿宋_GB2312"/>
          <w:color w:val="auto"/>
          <w:sz w:val="32"/>
          <w:szCs w:val="32"/>
          <w:highlight w:val="none"/>
        </w:rPr>
        <w:t>万元，下降</w:t>
      </w:r>
      <w:r>
        <w:rPr>
          <w:rFonts w:hint="eastAsia" w:ascii="仿宋_GB2312" w:hAnsi="仿宋_GB2312" w:cs="仿宋_GB2312"/>
          <w:color w:val="auto"/>
          <w:sz w:val="32"/>
          <w:szCs w:val="32"/>
          <w:highlight w:val="none"/>
          <w:lang w:val="en-US" w:eastAsia="zh-CN"/>
        </w:rPr>
        <w:t>89.44</w:t>
      </w:r>
      <w:r>
        <w:rPr>
          <w:rFonts w:hint="eastAsia" w:ascii="仿宋_GB2312" w:hAnsi="仿宋_GB2312" w:eastAsia="仿宋_GB2312" w:cs="仿宋_GB2312"/>
          <w:color w:val="auto"/>
          <w:sz w:val="32"/>
          <w:szCs w:val="32"/>
          <w:highlight w:val="none"/>
        </w:rPr>
        <w:t>%。主要原因是</w:t>
      </w:r>
      <w:r>
        <w:rPr>
          <w:rFonts w:hint="eastAsia" w:ascii="仿宋_GB2312" w:hAnsi="仿宋_GB2312" w:cs="仿宋_GB2312"/>
          <w:color w:val="auto"/>
          <w:sz w:val="32"/>
          <w:szCs w:val="32"/>
          <w:highlight w:val="none"/>
          <w:lang w:val="en-US" w:eastAsia="zh-CN"/>
        </w:rPr>
        <w:t>2022年度购置一台公务用车，2023年无</w:t>
      </w:r>
      <w:r>
        <w:rPr>
          <w:rFonts w:hint="eastAsia" w:ascii="仿宋_GB2312" w:hAnsi="仿宋_GB2312" w:eastAsia="仿宋_GB2312" w:cs="仿宋_GB2312"/>
          <w:color w:val="auto"/>
          <w:sz w:val="32"/>
          <w:szCs w:val="32"/>
          <w:highlight w:val="none"/>
        </w:rPr>
        <w:t>。</w:t>
      </w:r>
    </w:p>
    <w:p>
      <w:pPr>
        <w:spacing w:line="600" w:lineRule="exact"/>
        <w:ind w:firstLine="640"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b/>
          <w:color w:val="auto"/>
          <w:sz w:val="32"/>
          <w:szCs w:val="32"/>
          <w:highlight w:val="none"/>
        </w:rPr>
        <w:t>公务用车购置支出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万元。截至</w:t>
      </w:r>
      <w:r>
        <w:rPr>
          <w:rFonts w:hint="eastAsia" w:ascii="仿宋_GB2312" w:hAnsi="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年12月底，单位共有公务用车</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辆，其中：轿车</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辆、越野车</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辆、载客汽车</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公务用车运行维护费支出</w:t>
      </w:r>
      <w:r>
        <w:rPr>
          <w:rFonts w:hint="eastAsia" w:ascii="仿宋_GB2312" w:hAnsi="仿宋_GB2312" w:cs="仿宋_GB2312"/>
          <w:color w:val="auto"/>
          <w:sz w:val="32"/>
          <w:szCs w:val="32"/>
          <w:highlight w:val="none"/>
          <w:lang w:val="en-US" w:eastAsia="zh-CN"/>
        </w:rPr>
        <w:t>2.69</w:t>
      </w:r>
      <w:r>
        <w:rPr>
          <w:rFonts w:hint="eastAsia" w:ascii="仿宋_GB2312" w:hAnsi="仿宋_GB2312" w:eastAsia="仿宋_GB2312" w:cs="仿宋_GB2312"/>
          <w:color w:val="auto"/>
          <w:sz w:val="32"/>
          <w:szCs w:val="32"/>
          <w:highlight w:val="none"/>
        </w:rPr>
        <w:t>万元。主要用于</w:t>
      </w:r>
      <w:r>
        <w:rPr>
          <w:rFonts w:hint="eastAsia" w:ascii="仿宋_GB2312" w:hAnsi="仿宋_GB2312" w:cs="仿宋_GB2312"/>
          <w:color w:val="auto"/>
          <w:sz w:val="32"/>
          <w:szCs w:val="32"/>
          <w:highlight w:val="none"/>
          <w:lang w:eastAsia="zh-CN"/>
        </w:rPr>
        <w:t>留置场所业务用车</w:t>
      </w:r>
      <w:r>
        <w:rPr>
          <w:rFonts w:hint="eastAsia" w:ascii="仿宋_GB2312" w:hAnsi="仿宋_GB2312" w:eastAsia="仿宋_GB2312" w:cs="仿宋_GB2312"/>
          <w:color w:val="auto"/>
          <w:sz w:val="32"/>
          <w:szCs w:val="32"/>
          <w:highlight w:val="none"/>
        </w:rPr>
        <w:t>所需的公务用车燃料费、维修费、过路过桥费、保险费等支出。</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3.公务接待费支出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Style w:val="15"/>
          <w:rFonts w:hint="eastAsia" w:ascii="仿宋_GB2312" w:hAnsi="仿宋_GB2312" w:eastAsia="仿宋_GB2312" w:cs="仿宋_GB2312"/>
          <w:b w:val="0"/>
          <w:bCs/>
          <w:color w:val="auto"/>
          <w:sz w:val="32"/>
          <w:szCs w:val="32"/>
          <w:highlight w:val="none"/>
        </w:rPr>
        <w:t>完成预算</w:t>
      </w:r>
      <w:r>
        <w:rPr>
          <w:rStyle w:val="15"/>
          <w:rFonts w:hint="eastAsia" w:ascii="仿宋_GB2312" w:hAnsi="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公务接待费支出决算比</w:t>
      </w:r>
      <w:r>
        <w:rPr>
          <w:rFonts w:hint="eastAsia" w:ascii="仿宋_GB2312" w:hAnsi="仿宋_GB2312" w:cs="仿宋_GB2312"/>
          <w:color w:val="auto"/>
          <w:sz w:val="32"/>
          <w:szCs w:val="32"/>
          <w:highlight w:val="none"/>
          <w:lang w:eastAsia="zh-CN"/>
        </w:rPr>
        <w:t>2022</w:t>
      </w:r>
      <w:r>
        <w:rPr>
          <w:rFonts w:hint="eastAsia" w:ascii="仿宋_GB2312" w:hAnsi="仿宋_GB2312" w:eastAsia="仿宋_GB2312" w:cs="仿宋_GB2312"/>
          <w:color w:val="auto"/>
          <w:sz w:val="32"/>
          <w:szCs w:val="32"/>
          <w:highlight w:val="none"/>
        </w:rPr>
        <w:t>年</w:t>
      </w:r>
      <w:r>
        <w:rPr>
          <w:rFonts w:hint="eastAsia" w:ascii="仿宋_GB2312" w:hAnsi="仿宋_GB2312" w:cs="仿宋_GB2312"/>
          <w:color w:val="auto"/>
          <w:sz w:val="32"/>
          <w:szCs w:val="32"/>
          <w:highlight w:val="none"/>
          <w:lang w:eastAsia="zh-CN"/>
        </w:rPr>
        <w:t>持平</w:t>
      </w:r>
      <w:r>
        <w:rPr>
          <w:rFonts w:hint="eastAsia" w:ascii="仿宋_GB2312" w:hAnsi="仿宋_GB2312" w:eastAsia="仿宋_GB2312" w:cs="仿宋_GB2312"/>
          <w:color w:val="auto"/>
          <w:sz w:val="32"/>
          <w:szCs w:val="32"/>
          <w:highlight w:val="none"/>
        </w:rPr>
        <w:t>。其中：</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国内公务接待支出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万元。国内公务接待</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批次，</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人次（不包括陪同人员），共计支出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pPr>
        <w:spacing w:line="600" w:lineRule="exact"/>
        <w:ind w:firstLine="643" w:firstLineChars="200"/>
        <w:rPr>
          <w:rFonts w:ascii="黑体" w:eastAsia="黑体"/>
          <w:color w:val="000000"/>
          <w:sz w:val="32"/>
          <w:szCs w:val="32"/>
        </w:rPr>
      </w:pPr>
      <w:r>
        <w:rPr>
          <w:rFonts w:hint="eastAsia" w:ascii="仿宋_GB2312" w:hAnsi="仿宋_GB2312" w:eastAsia="仿宋_GB2312" w:cs="仿宋_GB2312"/>
          <w:b/>
          <w:color w:val="auto"/>
          <w:sz w:val="32"/>
          <w:szCs w:val="32"/>
          <w:highlight w:val="none"/>
        </w:rPr>
        <w:t>外事接待支出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外事接待</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批次，</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次（不包括陪同人员）</w:t>
      </w:r>
      <w:r>
        <w:rPr>
          <w:rFonts w:hint="eastAsia" w:ascii="仿宋_GB2312" w:hAnsi="仿宋_GB2312" w:eastAsia="仿宋_GB2312" w:cs="仿宋_GB2312"/>
          <w:color w:val="auto"/>
          <w:sz w:val="32"/>
          <w:szCs w:val="32"/>
          <w:highlight w:val="none"/>
        </w:rPr>
        <w:t>，共计支出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pPr>
        <w:spacing w:line="600" w:lineRule="exact"/>
        <w:ind w:firstLine="640"/>
        <w:outlineLvl w:val="1"/>
        <w:rPr>
          <w:rStyle w:val="18"/>
          <w:rFonts w:ascii="黑体" w:hAnsi="黑体" w:eastAsia="黑体"/>
        </w:rPr>
      </w:pPr>
      <w:bookmarkStart w:id="43" w:name="_Toc15396610"/>
      <w:bookmarkStart w:id="44" w:name="_Toc15377218"/>
      <w:bookmarkStart w:id="45" w:name="_Toc1591094750"/>
      <w:bookmarkStart w:id="46" w:name="_Toc27509"/>
      <w:r>
        <w:rPr>
          <w:rFonts w:hint="eastAsia" w:ascii="黑体" w:eastAsia="黑体"/>
          <w:color w:val="000000"/>
          <w:sz w:val="32"/>
          <w:szCs w:val="32"/>
        </w:rPr>
        <w:t>八、</w:t>
      </w:r>
      <w:r>
        <w:rPr>
          <w:rStyle w:val="18"/>
          <w:rFonts w:hint="eastAsia" w:ascii="黑体" w:hAnsi="黑体" w:eastAsia="黑体"/>
          <w:b w:val="0"/>
        </w:rPr>
        <w:t>政府性基金预算支出决算情况说明</w:t>
      </w:r>
      <w:bookmarkEnd w:id="43"/>
      <w:bookmarkEnd w:id="44"/>
      <w:bookmarkEnd w:id="45"/>
      <w:bookmarkEnd w:id="46"/>
    </w:p>
    <w:p>
      <w:pPr>
        <w:spacing w:line="600" w:lineRule="exact"/>
        <w:ind w:firstLine="640"/>
        <w:rPr>
          <w:rFonts w:ascii="仿宋_GB2312" w:eastAsia="仿宋_GB2312"/>
          <w:color w:val="000000"/>
          <w:sz w:val="32"/>
          <w:szCs w:val="32"/>
        </w:rPr>
      </w:pPr>
      <w:r>
        <w:rPr>
          <w:rFonts w:hint="eastAsia" w:ascii="仿宋_GB2312" w:hAnsi="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年政府性基金预算</w:t>
      </w:r>
      <w:r>
        <w:rPr>
          <w:rFonts w:hint="eastAsia" w:ascii="仿宋_GB2312" w:hAnsi="仿宋_GB2312" w:eastAsia="仿宋_GB2312" w:cs="仿宋_GB2312"/>
          <w:color w:val="auto"/>
          <w:sz w:val="32"/>
          <w:szCs w:val="32"/>
          <w:highlight w:val="none"/>
          <w:lang w:eastAsia="zh-CN"/>
        </w:rPr>
        <w:t>财政</w:t>
      </w:r>
      <w:r>
        <w:rPr>
          <w:rFonts w:hint="eastAsia" w:ascii="仿宋_GB2312" w:hAnsi="仿宋_GB2312" w:eastAsia="仿宋_GB2312" w:cs="仿宋_GB2312"/>
          <w:color w:val="auto"/>
          <w:sz w:val="32"/>
          <w:szCs w:val="32"/>
          <w:highlight w:val="none"/>
        </w:rPr>
        <w:t>拨款支出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sz w:val="32"/>
          <w:szCs w:val="32"/>
        </w:rPr>
        <w:t>自贡市纪委监委廉政教育中心202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政府性基金预算拨款安排。</w:t>
      </w:r>
    </w:p>
    <w:p>
      <w:pPr>
        <w:numPr>
          <w:ilvl w:val="0"/>
          <w:numId w:val="2"/>
        </w:numPr>
        <w:spacing w:line="600" w:lineRule="exact"/>
        <w:ind w:firstLine="640"/>
        <w:outlineLvl w:val="1"/>
        <w:rPr>
          <w:rStyle w:val="18"/>
          <w:rFonts w:ascii="黑体" w:hAnsi="黑体" w:eastAsia="黑体"/>
          <w:b w:val="0"/>
        </w:rPr>
      </w:pPr>
      <w:bookmarkStart w:id="47" w:name="_Toc15377219"/>
      <w:bookmarkStart w:id="48" w:name="_Toc15396611"/>
      <w:bookmarkStart w:id="49" w:name="_Toc937569418"/>
      <w:bookmarkStart w:id="50" w:name="_Toc269"/>
      <w:r>
        <w:rPr>
          <w:rStyle w:val="18"/>
          <w:rFonts w:hint="eastAsia" w:ascii="黑体" w:hAnsi="黑体" w:eastAsia="黑体"/>
          <w:b w:val="0"/>
        </w:rPr>
        <w:t>国有资本经营预算支出决算情况说明</w:t>
      </w:r>
      <w:bookmarkEnd w:id="47"/>
      <w:bookmarkEnd w:id="48"/>
      <w:bookmarkEnd w:id="49"/>
      <w:bookmarkEnd w:id="50"/>
    </w:p>
    <w:p>
      <w:pPr>
        <w:spacing w:line="600" w:lineRule="exact"/>
        <w:ind w:firstLine="640"/>
        <w:rPr>
          <w:rFonts w:ascii="方正小标宋简体" w:hAnsi="方正小标宋简体" w:eastAsia="方正小标宋简体" w:cs="方正小标宋简体"/>
          <w:sz w:val="44"/>
          <w:szCs w:val="44"/>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年国有资本经营预算</w:t>
      </w:r>
      <w:r>
        <w:rPr>
          <w:rFonts w:hint="eastAsia" w:ascii="仿宋_GB2312" w:hAnsi="仿宋_GB2312" w:eastAsia="仿宋_GB2312" w:cs="仿宋_GB2312"/>
          <w:color w:val="auto"/>
          <w:sz w:val="32"/>
          <w:szCs w:val="32"/>
          <w:highlight w:val="none"/>
          <w:lang w:eastAsia="zh-CN"/>
        </w:rPr>
        <w:t>财政</w:t>
      </w:r>
      <w:r>
        <w:rPr>
          <w:rFonts w:hint="eastAsia" w:ascii="仿宋_GB2312" w:hAnsi="仿宋_GB2312" w:eastAsia="仿宋_GB2312" w:cs="仿宋_GB2312"/>
          <w:color w:val="auto"/>
          <w:sz w:val="32"/>
          <w:szCs w:val="32"/>
          <w:highlight w:val="none"/>
        </w:rPr>
        <w:t>拨款支出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sz w:val="32"/>
          <w:szCs w:val="32"/>
        </w:rPr>
        <w:t>自贡市纪委监委廉政教育中心202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color w:val="000000"/>
          <w:szCs w:val="32"/>
        </w:rPr>
        <w:t>国有资本经营预算拨款</w:t>
      </w:r>
      <w:r>
        <w:rPr>
          <w:rFonts w:hint="eastAsia" w:ascii="仿宋_GB2312" w:hAnsi="仿宋_GB2312" w:eastAsia="仿宋_GB2312" w:cs="仿宋_GB2312"/>
          <w:sz w:val="32"/>
          <w:szCs w:val="32"/>
        </w:rPr>
        <w:t>安排。</w:t>
      </w:r>
    </w:p>
    <w:p>
      <w:pPr>
        <w:spacing w:line="600" w:lineRule="exact"/>
        <w:ind w:firstLine="800" w:firstLineChars="250"/>
        <w:outlineLvl w:val="1"/>
        <w:rPr>
          <w:rStyle w:val="18"/>
          <w:rFonts w:ascii="黑体" w:hAnsi="黑体" w:eastAsia="黑体"/>
        </w:rPr>
      </w:pPr>
      <w:bookmarkStart w:id="51" w:name="_Toc15377221"/>
      <w:bookmarkStart w:id="52" w:name="_Toc479257254"/>
      <w:bookmarkStart w:id="53" w:name="_Toc15396612"/>
      <w:bookmarkStart w:id="54" w:name="_Toc15678"/>
      <w:r>
        <w:rPr>
          <w:rFonts w:hint="eastAsia" w:ascii="黑体" w:hAnsi="黑体" w:eastAsia="黑体"/>
          <w:color w:val="000000"/>
          <w:sz w:val="32"/>
          <w:szCs w:val="32"/>
        </w:rPr>
        <w:t>十</w:t>
      </w:r>
      <w:r>
        <w:rPr>
          <w:rStyle w:val="18"/>
          <w:rFonts w:hint="eastAsia" w:ascii="黑体" w:hAnsi="黑体" w:eastAsia="黑体"/>
        </w:rPr>
        <w:t>、</w:t>
      </w:r>
      <w:r>
        <w:rPr>
          <w:rStyle w:val="18"/>
          <w:rFonts w:hint="eastAsia" w:ascii="黑体" w:hAnsi="黑体" w:eastAsia="黑体"/>
          <w:b w:val="0"/>
        </w:rPr>
        <w:t>其他重要事项的情况说明</w:t>
      </w:r>
      <w:bookmarkEnd w:id="51"/>
      <w:bookmarkEnd w:id="52"/>
      <w:bookmarkEnd w:id="53"/>
      <w:bookmarkEnd w:id="54"/>
    </w:p>
    <w:p>
      <w:pPr>
        <w:spacing w:line="600" w:lineRule="exact"/>
        <w:ind w:firstLine="643" w:firstLineChars="200"/>
        <w:outlineLvl w:val="2"/>
        <w:rPr>
          <w:rFonts w:hint="eastAsia" w:ascii="仿宋_GB2312" w:hAnsi="仿宋_GB2312" w:eastAsia="仿宋_GB2312" w:cs="仿宋_GB2312"/>
          <w:color w:val="000000"/>
          <w:sz w:val="32"/>
          <w:szCs w:val="32"/>
        </w:rPr>
      </w:pPr>
      <w:bookmarkStart w:id="55" w:name="_Toc15377222"/>
      <w:r>
        <w:rPr>
          <w:rFonts w:hint="eastAsia" w:ascii="仿宋_GB2312" w:hAnsi="仿宋_GB2312" w:eastAsia="仿宋_GB2312" w:cs="仿宋_GB2312"/>
          <w:b/>
          <w:color w:val="000000"/>
          <w:sz w:val="32"/>
          <w:szCs w:val="32"/>
        </w:rPr>
        <w:t>（一）机关运行经费支出情况</w:t>
      </w:r>
      <w:bookmarkEnd w:id="5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自贡市廉政教育中心属于事业单位，无机关运行经费。</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bookmarkStart w:id="56" w:name="_Toc15377223"/>
      <w:r>
        <w:rPr>
          <w:rFonts w:hint="eastAsia" w:ascii="仿宋_GB2312" w:hAnsi="仿宋_GB2312" w:eastAsia="仿宋_GB2312" w:cs="仿宋_GB2312"/>
          <w:b/>
          <w:color w:val="000000"/>
          <w:sz w:val="32"/>
          <w:szCs w:val="32"/>
        </w:rPr>
        <w:t>（二）政府采购支出情况</w:t>
      </w:r>
      <w:bookmarkEnd w:id="56"/>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000000"/>
          <w:szCs w:val="32"/>
        </w:rPr>
        <w:t>市廉政教育中心</w:t>
      </w:r>
      <w:r>
        <w:rPr>
          <w:rFonts w:hint="eastAsia" w:ascii="仿宋_GB2312" w:hAnsi="仿宋_GB2312" w:eastAsia="仿宋_GB2312" w:cs="仿宋_GB2312"/>
          <w:color w:val="auto"/>
          <w:sz w:val="32"/>
          <w:szCs w:val="32"/>
          <w:highlight w:val="none"/>
        </w:rPr>
        <w:t>政府采购支出总额</w:t>
      </w:r>
      <w:r>
        <w:rPr>
          <w:rFonts w:hint="eastAsia" w:ascii="仿宋_GB2312" w:hAnsi="仿宋_GB2312" w:cs="仿宋_GB2312"/>
          <w:color w:val="auto"/>
          <w:sz w:val="32"/>
          <w:szCs w:val="32"/>
          <w:highlight w:val="none"/>
          <w:lang w:val="en-US" w:eastAsia="zh-CN"/>
        </w:rPr>
        <w:t>22.17</w:t>
      </w:r>
      <w:r>
        <w:rPr>
          <w:rFonts w:hint="eastAsia" w:ascii="仿宋_GB2312" w:hAnsi="仿宋_GB2312" w:eastAsia="仿宋_GB2312" w:cs="仿宋_GB2312"/>
          <w:color w:val="auto"/>
          <w:sz w:val="32"/>
          <w:szCs w:val="32"/>
          <w:highlight w:val="none"/>
        </w:rPr>
        <w:t>万元，其中：政府采购货物支出</w:t>
      </w:r>
      <w:r>
        <w:rPr>
          <w:rFonts w:hint="eastAsia" w:ascii="仿宋_GB2312" w:hAnsi="仿宋_GB2312" w:cs="仿宋_GB2312"/>
          <w:color w:val="auto"/>
          <w:sz w:val="32"/>
          <w:szCs w:val="32"/>
          <w:highlight w:val="none"/>
          <w:lang w:val="en-US" w:eastAsia="zh-CN"/>
        </w:rPr>
        <w:t>21.82</w:t>
      </w:r>
      <w:r>
        <w:rPr>
          <w:rFonts w:hint="eastAsia" w:ascii="仿宋_GB2312" w:hAnsi="仿宋_GB2312" w:eastAsia="仿宋_GB2312" w:cs="仿宋_GB2312"/>
          <w:color w:val="auto"/>
          <w:sz w:val="32"/>
          <w:szCs w:val="32"/>
          <w:highlight w:val="none"/>
        </w:rPr>
        <w:t>万元、政府采购工程支出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万元、政府采购服务支出</w:t>
      </w:r>
      <w:r>
        <w:rPr>
          <w:rFonts w:hint="eastAsia" w:ascii="仿宋_GB2312" w:hAnsi="仿宋_GB2312" w:cs="仿宋_GB2312"/>
          <w:color w:val="auto"/>
          <w:sz w:val="32"/>
          <w:szCs w:val="32"/>
          <w:highlight w:val="none"/>
          <w:lang w:val="en-US" w:eastAsia="zh-CN"/>
        </w:rPr>
        <w:t>0.35</w:t>
      </w:r>
      <w:r>
        <w:rPr>
          <w:rFonts w:hint="eastAsia" w:ascii="仿宋_GB2312" w:hAnsi="仿宋_GB2312" w:eastAsia="仿宋_GB2312" w:cs="仿宋_GB2312"/>
          <w:color w:val="auto"/>
          <w:sz w:val="32"/>
          <w:szCs w:val="32"/>
          <w:highlight w:val="none"/>
        </w:rPr>
        <w:t>万元。主要用于</w:t>
      </w:r>
      <w:r>
        <w:rPr>
          <w:rFonts w:hint="eastAsia" w:ascii="仿宋_GB2312" w:hAnsi="仿宋_GB2312" w:cs="仿宋_GB2312"/>
          <w:color w:val="auto"/>
          <w:sz w:val="32"/>
          <w:szCs w:val="32"/>
          <w:highlight w:val="none"/>
          <w:lang w:eastAsia="zh-CN"/>
        </w:rPr>
        <w:t>留置场所基本运转保障</w:t>
      </w:r>
      <w:r>
        <w:rPr>
          <w:rFonts w:hint="eastAsia" w:ascii="仿宋_GB2312" w:hAnsi="仿宋_GB2312" w:eastAsia="仿宋_GB2312" w:cs="仿宋_GB2312"/>
          <w:color w:val="auto"/>
          <w:sz w:val="32"/>
          <w:szCs w:val="32"/>
          <w:highlight w:val="none"/>
        </w:rPr>
        <w:t>。授予中小企业合同金额</w:t>
      </w:r>
      <w:r>
        <w:rPr>
          <w:rFonts w:hint="eastAsia" w:ascii="仿宋_GB2312" w:hAnsi="仿宋_GB2312" w:cs="仿宋_GB2312"/>
          <w:color w:val="auto"/>
          <w:sz w:val="32"/>
          <w:szCs w:val="32"/>
          <w:highlight w:val="none"/>
          <w:lang w:val="en-US" w:eastAsia="zh-CN"/>
        </w:rPr>
        <w:t>20.08</w:t>
      </w:r>
      <w:r>
        <w:rPr>
          <w:rFonts w:hint="eastAsia" w:ascii="仿宋_GB2312" w:hAnsi="仿宋_GB2312" w:eastAsia="仿宋_GB2312" w:cs="仿宋_GB2312"/>
          <w:color w:val="auto"/>
          <w:sz w:val="32"/>
          <w:szCs w:val="32"/>
          <w:highlight w:val="none"/>
        </w:rPr>
        <w:t>万元，占政府采购支出总额的</w:t>
      </w:r>
      <w:r>
        <w:rPr>
          <w:rFonts w:hint="eastAsia" w:ascii="仿宋_GB2312" w:hAnsi="仿宋_GB2312" w:cs="仿宋_GB2312"/>
          <w:color w:val="auto"/>
          <w:sz w:val="32"/>
          <w:szCs w:val="32"/>
          <w:highlight w:val="none"/>
          <w:lang w:val="en-US" w:eastAsia="zh-CN"/>
        </w:rPr>
        <w:t>90.57</w:t>
      </w:r>
      <w:r>
        <w:rPr>
          <w:rFonts w:hint="eastAsia" w:ascii="仿宋_GB2312" w:hAnsi="仿宋_GB2312" w:eastAsia="仿宋_GB2312" w:cs="仿宋_GB2312"/>
          <w:color w:val="auto"/>
          <w:sz w:val="32"/>
          <w:szCs w:val="32"/>
          <w:highlight w:val="none"/>
        </w:rPr>
        <w:t>%，其中：授予小微企业合同金额</w:t>
      </w:r>
      <w:r>
        <w:rPr>
          <w:rFonts w:hint="eastAsia" w:ascii="仿宋_GB2312" w:hAnsi="仿宋_GB2312" w:cs="仿宋_GB2312"/>
          <w:color w:val="auto"/>
          <w:sz w:val="32"/>
          <w:szCs w:val="32"/>
          <w:highlight w:val="none"/>
          <w:lang w:val="en-US" w:eastAsia="zh-CN"/>
        </w:rPr>
        <w:t>20.08</w:t>
      </w:r>
      <w:r>
        <w:rPr>
          <w:rFonts w:hint="eastAsia" w:ascii="仿宋_GB2312" w:hAnsi="仿宋_GB2312" w:eastAsia="仿宋_GB2312" w:cs="仿宋_GB2312"/>
          <w:color w:val="auto"/>
          <w:sz w:val="32"/>
          <w:szCs w:val="32"/>
          <w:highlight w:val="none"/>
        </w:rPr>
        <w:t>万元，占政府采购支出总额的</w:t>
      </w:r>
      <w:r>
        <w:rPr>
          <w:rFonts w:hint="eastAsia" w:ascii="仿宋_GB2312" w:hAnsi="仿宋_GB2312" w:cs="仿宋_GB2312"/>
          <w:color w:val="auto"/>
          <w:sz w:val="32"/>
          <w:szCs w:val="32"/>
          <w:highlight w:val="none"/>
          <w:lang w:val="en-US" w:eastAsia="zh-CN"/>
        </w:rPr>
        <w:t>90.57</w:t>
      </w:r>
      <w:r>
        <w:rPr>
          <w:rFonts w:hint="eastAsia" w:ascii="仿宋_GB2312" w:hAnsi="仿宋_GB2312" w:eastAsia="仿宋_GB2312" w:cs="仿宋_GB2312"/>
          <w:color w:val="auto"/>
          <w:sz w:val="32"/>
          <w:szCs w:val="32"/>
          <w:highlight w:val="none"/>
        </w:rPr>
        <w:t>%。</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bookmarkStart w:id="57" w:name="_Toc15377224"/>
      <w:r>
        <w:rPr>
          <w:rFonts w:hint="eastAsia" w:ascii="仿宋_GB2312" w:hAnsi="仿宋_GB2312" w:eastAsia="仿宋_GB2312" w:cs="仿宋_GB2312"/>
          <w:b/>
          <w:color w:val="000000"/>
          <w:sz w:val="32"/>
          <w:szCs w:val="32"/>
        </w:rPr>
        <w:t>（三）国有资产占有使用情况</w:t>
      </w:r>
      <w:bookmarkEnd w:id="57"/>
    </w:p>
    <w:p>
      <w:pPr>
        <w:autoSpaceDE w:val="0"/>
        <w:autoSpaceDN w:val="0"/>
        <w:adjustRightInd w:val="0"/>
        <w:spacing w:line="600" w:lineRule="atLeast"/>
        <w:ind w:firstLine="707" w:firstLineChars="221"/>
        <w:jc w:val="both"/>
        <w:rPr>
          <w:rFonts w:hint="eastAsia" w:ascii="仿宋_GB2312" w:hAnsi="仿宋_GB2312" w:eastAsia="仿宋_GB2312" w:cs="仿宋_GB2312"/>
          <w:b/>
          <w:color w:val="FF0000"/>
          <w:sz w:val="32"/>
          <w:szCs w:val="32"/>
        </w:rPr>
      </w:pPr>
      <w:r>
        <w:rPr>
          <w:rFonts w:hint="eastAsia" w:ascii="仿宋_GB2312" w:hAnsi="仿宋_GB2312" w:eastAsia="仿宋_GB2312" w:cs="仿宋_GB2312"/>
          <w:color w:val="auto"/>
          <w:sz w:val="32"/>
          <w:szCs w:val="32"/>
          <w:highlight w:val="none"/>
        </w:rPr>
        <w:t>截至20</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年12月31日，</w:t>
      </w:r>
      <w:r>
        <w:rPr>
          <w:rFonts w:hint="eastAsia" w:ascii="仿宋_GB2312" w:hAnsi="仿宋_GB2312" w:eastAsia="仿宋_GB2312" w:cs="仿宋_GB2312"/>
          <w:color w:val="000000"/>
          <w:sz w:val="32"/>
          <w:szCs w:val="32"/>
        </w:rPr>
        <w:t>市廉政教育中心</w:t>
      </w:r>
      <w:r>
        <w:rPr>
          <w:rFonts w:hint="eastAsia" w:ascii="仿宋_GB2312" w:hAnsi="仿宋_GB2312" w:eastAsia="仿宋_GB2312" w:cs="仿宋_GB2312"/>
          <w:color w:val="auto"/>
          <w:sz w:val="32"/>
          <w:szCs w:val="32"/>
          <w:highlight w:val="none"/>
        </w:rPr>
        <w:t>共有车辆</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辆，其中：主要领导干部用车</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辆、机要通信用车</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w:t>
      </w:r>
      <w:r>
        <w:rPr>
          <w:rFonts w:hint="eastAsia" w:ascii="仿宋_GB2312" w:hAnsi="仿宋_GB2312" w:cs="仿宋_GB2312"/>
          <w:color w:val="auto"/>
          <w:sz w:val="32"/>
          <w:szCs w:val="32"/>
          <w:highlight w:val="none"/>
          <w:lang w:eastAsia="zh-CN"/>
        </w:rPr>
        <w:t>业务</w:t>
      </w:r>
      <w:r>
        <w:rPr>
          <w:rFonts w:hint="eastAsia" w:ascii="仿宋_GB2312" w:hAnsi="仿宋_GB2312" w:eastAsia="仿宋_GB2312" w:cs="仿宋_GB2312"/>
          <w:color w:val="auto"/>
          <w:sz w:val="32"/>
          <w:szCs w:val="32"/>
          <w:highlight w:val="none"/>
        </w:rPr>
        <w:t>用车</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辆、其他用车</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color w:val="auto"/>
          <w:sz w:val="32"/>
          <w:szCs w:val="32"/>
          <w:highlight w:val="none"/>
          <w:lang w:eastAsia="zh-CN"/>
        </w:rPr>
        <w:t>业务</w:t>
      </w:r>
      <w:r>
        <w:rPr>
          <w:rFonts w:hint="eastAsia" w:ascii="仿宋_GB2312" w:hAnsi="仿宋_GB2312" w:eastAsia="仿宋_GB2312" w:cs="仿宋_GB2312"/>
          <w:color w:val="000000"/>
          <w:sz w:val="32"/>
          <w:szCs w:val="32"/>
        </w:rPr>
        <w:t>用车用于</w:t>
      </w:r>
      <w:r>
        <w:rPr>
          <w:rFonts w:hint="eastAsia" w:ascii="仿宋_GB2312" w:hAnsi="仿宋_GB2312" w:eastAsia="仿宋_GB2312" w:cs="仿宋_GB2312"/>
          <w:color w:val="000000"/>
          <w:sz w:val="32"/>
          <w:szCs w:val="32"/>
          <w:lang w:eastAsia="zh-CN"/>
        </w:rPr>
        <w:t>留置</w:t>
      </w:r>
      <w:r>
        <w:rPr>
          <w:rFonts w:hint="eastAsia" w:ascii="仿宋_GB2312" w:hAnsi="仿宋_GB2312" w:cs="仿宋_GB2312"/>
          <w:color w:val="000000"/>
          <w:sz w:val="32"/>
          <w:szCs w:val="32"/>
          <w:lang w:eastAsia="zh-CN"/>
        </w:rPr>
        <w:t>场所</w:t>
      </w:r>
      <w:r>
        <w:rPr>
          <w:rFonts w:hint="eastAsia" w:ascii="仿宋_GB2312" w:hAnsi="仿宋_GB2312" w:eastAsia="仿宋_GB2312" w:cs="仿宋_GB2312"/>
          <w:color w:val="000000"/>
          <w:sz w:val="32"/>
          <w:szCs w:val="32"/>
          <w:lang w:eastAsia="zh-CN"/>
        </w:rPr>
        <w:t>审查调查工作中的突发应急保障</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单价100万元以上专用设备</w:t>
      </w:r>
      <w:r>
        <w:rPr>
          <w:rFonts w:hint="eastAsia" w:ascii="仿宋_GB2312" w:hAnsi="仿宋_GB2312" w:cs="仿宋_GB2312"/>
          <w:color w:val="000000"/>
          <w:sz w:val="32"/>
          <w:szCs w:val="32"/>
          <w:lang w:val="en-US" w:eastAsia="zh-CN"/>
        </w:rPr>
        <w:t>0</w:t>
      </w:r>
      <w:r>
        <w:rPr>
          <w:rFonts w:hint="eastAsia" w:ascii="仿宋_GB2312" w:hAnsi="仿宋_GB2312" w:eastAsia="仿宋_GB2312" w:cs="仿宋_GB2312"/>
          <w:color w:val="000000"/>
          <w:sz w:val="32"/>
          <w:szCs w:val="32"/>
        </w:rPr>
        <w:t>台（套）。</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（四）预算绩效管理情况。</w:t>
      </w:r>
    </w:p>
    <w:p>
      <w:pPr>
        <w:pStyle w:val="2"/>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hAnsi="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年度预算编制阶段，组织对廉政中心工作运转经费</w:t>
      </w:r>
      <w:r>
        <w:rPr>
          <w:rFonts w:hint="eastAsia" w:ascii="仿宋_GB2312" w:hAnsi="仿宋_GB2312" w:eastAsia="仿宋_GB2312" w:cs="仿宋_GB2312"/>
          <w:color w:val="auto"/>
          <w:sz w:val="32"/>
          <w:szCs w:val="32"/>
          <w:highlight w:val="none"/>
          <w:lang w:eastAsia="zh-CN"/>
        </w:rPr>
        <w:t>、政治生态建设社会评价工作专项经费、留置中心后勤服务保障（管理）</w:t>
      </w:r>
      <w:r>
        <w:rPr>
          <w:rFonts w:hint="eastAsia" w:ascii="仿宋_GB2312" w:hAnsi="仿宋_GB2312" w:eastAsia="仿宋_GB2312" w:cs="仿宋_GB2312"/>
          <w:color w:val="auto"/>
          <w:sz w:val="32"/>
          <w:szCs w:val="32"/>
          <w:highlight w:val="none"/>
        </w:rPr>
        <w:t>等</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pStyle w:val="11"/>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报告详见附件。（如不涉及，可根据实际修改表述。）</w:t>
      </w:r>
    </w:p>
    <w:p>
      <w:pPr>
        <w:rPr>
          <w:rStyle w:val="17"/>
          <w:rFonts w:ascii="黑体" w:hAnsi="黑体" w:eastAsia="黑体"/>
          <w:b w:val="0"/>
        </w:rPr>
      </w:pPr>
      <w:bookmarkStart w:id="58" w:name="_Toc15396613"/>
      <w:bookmarkStart w:id="59" w:name="_Toc15377225"/>
      <w:bookmarkStart w:id="60" w:name="_Toc19818"/>
      <w:r>
        <w:rPr>
          <w:rFonts w:hint="eastAsia" w:ascii="黑体" w:hAnsi="黑体" w:eastAsia="黑体"/>
          <w:color w:val="000000"/>
          <w:sz w:val="44"/>
          <w:szCs w:val="44"/>
        </w:rPr>
        <w:br w:type="page"/>
      </w:r>
    </w:p>
    <w:p>
      <w:pPr>
        <w:numPr>
          <w:ilvl w:val="0"/>
          <w:numId w:val="3"/>
        </w:numPr>
        <w:spacing w:line="600" w:lineRule="exact"/>
        <w:ind w:firstLine="660" w:firstLineChars="150"/>
        <w:jc w:val="center"/>
        <w:outlineLvl w:val="0"/>
        <w:rPr>
          <w:rStyle w:val="17"/>
          <w:rFonts w:ascii="黑体" w:hAnsi="黑体" w:eastAsia="黑体"/>
          <w:b w:val="0"/>
        </w:rPr>
      </w:pPr>
      <w:r>
        <w:rPr>
          <w:rFonts w:hint="eastAsia" w:ascii="黑体" w:hAnsi="黑体" w:eastAsia="黑体"/>
          <w:color w:val="000000"/>
          <w:sz w:val="44"/>
          <w:szCs w:val="44"/>
        </w:rPr>
        <w:t>名</w:t>
      </w:r>
      <w:r>
        <w:rPr>
          <w:rStyle w:val="17"/>
          <w:rFonts w:hint="eastAsia" w:ascii="黑体" w:hAnsi="黑体" w:eastAsia="黑体"/>
          <w:b w:val="0"/>
        </w:rPr>
        <w:t>词解释</w:t>
      </w:r>
      <w:bookmarkEnd w:id="58"/>
      <w:bookmarkEnd w:id="59"/>
      <w:bookmarkEnd w:id="60"/>
    </w:p>
    <w:p>
      <w:pPr>
        <w:pStyle w:val="20"/>
        <w:spacing w:line="560" w:lineRule="exact"/>
        <w:ind w:firstLine="640" w:firstLineChars="200"/>
        <w:rPr>
          <w:rFonts w:hint="eastAsia" w:ascii="仿宋_GB2312" w:hAnsi="仿宋_GB2312" w:eastAsia="仿宋_GB2312" w:cs="仿宋_GB2312"/>
          <w:sz w:val="32"/>
          <w:szCs w:val="32"/>
        </w:rPr>
      </w:pPr>
      <w:bookmarkStart w:id="61" w:name="_Toc15377226"/>
      <w:r>
        <w:rPr>
          <w:rFonts w:hint="eastAsia" w:ascii="仿宋_GB2312" w:hAnsi="仿宋_GB2312" w:eastAsia="仿宋_GB2312" w:cs="仿宋_GB2312"/>
          <w:sz w:val="32"/>
          <w:szCs w:val="32"/>
        </w:rPr>
        <w:t>1.财政拨款收入：指单位从同级财政部门取得的财政预算资金。</w:t>
      </w:r>
    </w:p>
    <w:p>
      <w:pPr>
        <w:pStyle w:val="2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.使用非财政拨款结余：指事业单位使用以前年度积累的非财政拨款结余弥补当年收支差额的金额。 </w:t>
      </w:r>
    </w:p>
    <w:p>
      <w:pPr>
        <w:pStyle w:val="2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.年初结转和结余：指以前年度尚未完成、结转到本年按有关规定继续使用的资金。 </w:t>
      </w:r>
    </w:p>
    <w:p>
      <w:pPr>
        <w:pStyle w:val="2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.结余分配：指事业单位按照会计制度规定缴纳的所得税、提取的专用结余以及转入非财政拨款结余的金额等。</w:t>
      </w:r>
    </w:p>
    <w:p>
      <w:pPr>
        <w:pStyle w:val="2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、年末结转和结余：指单位按有关规定结转到下年或以后年度继续使用的资金。</w:t>
      </w:r>
    </w:p>
    <w:p>
      <w:pPr>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b w:val="0"/>
          <w:bCs w:val="0"/>
          <w:color w:val="000000"/>
          <w:szCs w:val="32"/>
          <w:lang w:val="en-US" w:eastAsia="zh-CN"/>
        </w:rPr>
        <w:t>6</w:t>
      </w:r>
      <w:r>
        <w:rPr>
          <w:rFonts w:hint="eastAsia" w:ascii="仿宋_GB2312" w:hAnsi="仿宋_GB2312" w:eastAsia="仿宋_GB2312" w:cs="仿宋_GB2312"/>
          <w:b w:val="0"/>
          <w:bCs w:val="0"/>
          <w:color w:val="000000"/>
          <w:szCs w:val="32"/>
        </w:rPr>
        <w:t>.</w:t>
      </w:r>
      <w:r>
        <w:rPr>
          <w:rStyle w:val="15"/>
          <w:rFonts w:hint="eastAsia" w:ascii="仿宋_GB2312" w:hAnsi="仿宋_GB2312" w:eastAsia="仿宋_GB2312" w:cs="仿宋_GB2312"/>
          <w:b w:val="0"/>
          <w:bCs w:val="0"/>
          <w:color w:val="000000"/>
          <w:szCs w:val="32"/>
        </w:rPr>
        <w:t>一般公共服务（类）纪检监察事务（款）事业运行（项）</w:t>
      </w:r>
      <w:r>
        <w:rPr>
          <w:rFonts w:hint="eastAsia" w:ascii="仿宋_GB2312" w:hAnsi="仿宋_GB2312" w:eastAsia="仿宋_GB2312" w:cs="仿宋_GB2312"/>
          <w:b w:val="0"/>
          <w:bCs w:val="0"/>
          <w:color w:val="000000"/>
          <w:szCs w:val="32"/>
        </w:rPr>
        <w:t>：</w:t>
      </w:r>
      <w:r>
        <w:rPr>
          <w:rFonts w:hint="eastAsia" w:ascii="仿宋_GB2312" w:hAnsi="仿宋_GB2312" w:eastAsia="仿宋_GB2312" w:cs="仿宋_GB2312"/>
          <w:color w:val="000000"/>
          <w:szCs w:val="32"/>
        </w:rPr>
        <w:t>指</w:t>
      </w:r>
      <w:r>
        <w:rPr>
          <w:rFonts w:hint="eastAsia" w:ascii="仿宋_GB2312" w:hAnsi="仿宋_GB2312" w:eastAsia="仿宋_GB2312" w:cs="仿宋_GB2312"/>
          <w:color w:val="000000"/>
          <w:szCs w:val="32"/>
          <w:lang w:eastAsia="zh-CN"/>
        </w:rPr>
        <w:t>事业单位的基本支出</w:t>
      </w:r>
      <w:r>
        <w:rPr>
          <w:rFonts w:hint="eastAsia" w:ascii="仿宋_GB2312" w:hAnsi="仿宋_GB2312" w:eastAsia="仿宋_GB2312" w:cs="仿宋_GB2312"/>
          <w:color w:val="000000"/>
          <w:szCs w:val="32"/>
        </w:rPr>
        <w:t>。</w:t>
      </w:r>
    </w:p>
    <w:p>
      <w:pPr>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b w:val="0"/>
          <w:bCs w:val="0"/>
          <w:color w:val="000000"/>
          <w:szCs w:val="32"/>
          <w:lang w:val="en-US" w:eastAsia="zh-CN"/>
        </w:rPr>
        <w:t>7</w:t>
      </w:r>
      <w:r>
        <w:rPr>
          <w:rFonts w:hint="eastAsia" w:ascii="仿宋_GB2312" w:hAnsi="仿宋_GB2312" w:eastAsia="仿宋_GB2312" w:cs="仿宋_GB2312"/>
          <w:b w:val="0"/>
          <w:bCs w:val="0"/>
          <w:color w:val="000000"/>
          <w:szCs w:val="32"/>
        </w:rPr>
        <w:t>.</w:t>
      </w:r>
      <w:r>
        <w:rPr>
          <w:rStyle w:val="15"/>
          <w:rFonts w:hint="eastAsia" w:ascii="仿宋_GB2312" w:hAnsi="仿宋_GB2312" w:eastAsia="仿宋_GB2312" w:cs="仿宋_GB2312"/>
          <w:b w:val="0"/>
          <w:bCs w:val="0"/>
          <w:color w:val="000000"/>
          <w:szCs w:val="32"/>
        </w:rPr>
        <w:t>一般公共服务（类）纪检监察事务（款）其他纪检监察事务支出（项）</w:t>
      </w:r>
      <w:r>
        <w:rPr>
          <w:rFonts w:hint="eastAsia" w:ascii="仿宋_GB2312" w:hAnsi="仿宋_GB2312" w:eastAsia="仿宋_GB2312" w:cs="仿宋_GB2312"/>
          <w:b w:val="0"/>
          <w:bCs w:val="0"/>
          <w:color w:val="000000"/>
          <w:szCs w:val="32"/>
        </w:rPr>
        <w:t>：</w:t>
      </w:r>
      <w:r>
        <w:rPr>
          <w:rFonts w:hint="eastAsia" w:ascii="仿宋_GB2312" w:hAnsi="仿宋_GB2312" w:eastAsia="仿宋_GB2312" w:cs="仿宋_GB2312"/>
          <w:color w:val="000000"/>
          <w:szCs w:val="32"/>
        </w:rPr>
        <w:t>指</w:t>
      </w:r>
      <w:r>
        <w:rPr>
          <w:rFonts w:hint="eastAsia" w:ascii="仿宋_GB2312" w:hAnsi="仿宋_GB2312" w:eastAsia="仿宋_GB2312" w:cs="仿宋_GB2312"/>
          <w:color w:val="000000"/>
          <w:szCs w:val="32"/>
          <w:lang w:eastAsia="zh-CN"/>
        </w:rPr>
        <w:t>廉政教育中心</w:t>
      </w:r>
      <w:r>
        <w:rPr>
          <w:rFonts w:hint="eastAsia" w:ascii="仿宋_GB2312" w:hAnsi="仿宋_GB2312" w:cs="仿宋_GB2312"/>
          <w:color w:val="000000"/>
          <w:szCs w:val="32"/>
          <w:lang w:eastAsia="zh-CN"/>
        </w:rPr>
        <w:t>工作</w:t>
      </w:r>
      <w:r>
        <w:rPr>
          <w:rFonts w:hint="eastAsia" w:ascii="仿宋_GB2312" w:hAnsi="仿宋_GB2312" w:eastAsia="仿宋_GB2312" w:cs="仿宋_GB2312"/>
          <w:color w:val="000000"/>
          <w:szCs w:val="32"/>
          <w:lang w:eastAsia="zh-CN"/>
        </w:rPr>
        <w:t>运转经费</w:t>
      </w:r>
      <w:r>
        <w:rPr>
          <w:rFonts w:hint="eastAsia" w:ascii="仿宋_GB2312" w:hAnsi="仿宋_GB2312" w:cs="仿宋_GB2312"/>
          <w:color w:val="000000"/>
          <w:szCs w:val="32"/>
          <w:lang w:eastAsia="zh-CN"/>
        </w:rPr>
        <w:t>和政治生态建设社会评价工作经费</w:t>
      </w:r>
      <w:r>
        <w:rPr>
          <w:rFonts w:hint="eastAsia" w:ascii="仿宋_GB2312" w:hAnsi="仿宋_GB2312" w:eastAsia="仿宋_GB2312" w:cs="仿宋_GB2312"/>
          <w:color w:val="000000"/>
          <w:szCs w:val="32"/>
        </w:rPr>
        <w:t>。</w:t>
      </w:r>
    </w:p>
    <w:p>
      <w:pPr>
        <w:spacing w:line="600" w:lineRule="atLeast"/>
        <w:ind w:firstLine="640" w:firstLineChars="200"/>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color w:val="000000"/>
          <w:szCs w:val="32"/>
          <w:lang w:val="en-US" w:eastAsia="zh-CN"/>
        </w:rPr>
        <w:t>8</w:t>
      </w:r>
      <w:r>
        <w:rPr>
          <w:rFonts w:hint="eastAsia" w:ascii="仿宋_GB2312" w:hAnsi="仿宋_GB2312" w:eastAsia="仿宋_GB2312" w:cs="仿宋_GB2312"/>
          <w:b w:val="0"/>
          <w:bCs w:val="0"/>
          <w:color w:val="000000"/>
          <w:szCs w:val="32"/>
        </w:rPr>
        <w:t>.</w:t>
      </w:r>
      <w:r>
        <w:rPr>
          <w:rStyle w:val="15"/>
          <w:rFonts w:hint="eastAsia" w:ascii="仿宋_GB2312" w:hAnsi="仿宋_GB2312" w:eastAsia="仿宋_GB2312" w:cs="仿宋_GB2312"/>
          <w:b w:val="0"/>
          <w:bCs w:val="0"/>
          <w:color w:val="000000"/>
          <w:szCs w:val="32"/>
        </w:rPr>
        <w:t>社会保障和就业（类）</w:t>
      </w:r>
      <w:r>
        <w:rPr>
          <w:rFonts w:hint="eastAsia" w:ascii="仿宋_GB2312" w:hAnsi="仿宋_GB2312" w:eastAsia="仿宋_GB2312" w:cs="仿宋_GB2312"/>
          <w:szCs w:val="32"/>
        </w:rPr>
        <w:t>行政事业单位养老支出</w:t>
      </w:r>
      <w:r>
        <w:rPr>
          <w:rStyle w:val="15"/>
          <w:rFonts w:hint="eastAsia" w:ascii="仿宋_GB2312" w:hAnsi="仿宋_GB2312" w:eastAsia="仿宋_GB2312" w:cs="仿宋_GB2312"/>
          <w:b w:val="0"/>
          <w:bCs w:val="0"/>
          <w:color w:val="000000"/>
          <w:szCs w:val="32"/>
        </w:rPr>
        <w:t>（款）</w:t>
      </w:r>
    </w:p>
    <w:p>
      <w:pPr>
        <w:rPr>
          <w:rFonts w:hint="eastAsia" w:ascii="仿宋_GB2312" w:hAnsi="仿宋_GB2312" w:eastAsia="仿宋_GB2312" w:cs="仿宋_GB2312"/>
          <w:color w:val="000000"/>
          <w:szCs w:val="32"/>
        </w:rPr>
      </w:pPr>
      <w:r>
        <w:rPr>
          <w:rFonts w:hint="eastAsia" w:ascii="仿宋_GB2312" w:hAnsi="仿宋_GB2312" w:eastAsia="仿宋_GB2312" w:cs="仿宋_GB2312"/>
          <w:szCs w:val="32"/>
        </w:rPr>
        <w:t>机关事业单位基本养老保险缴费支出</w:t>
      </w:r>
      <w:r>
        <w:rPr>
          <w:rStyle w:val="15"/>
          <w:rFonts w:hint="eastAsia" w:ascii="仿宋_GB2312" w:hAnsi="仿宋_GB2312" w:eastAsia="仿宋_GB2312" w:cs="仿宋_GB2312"/>
          <w:b w:val="0"/>
          <w:bCs w:val="0"/>
          <w:color w:val="000000"/>
          <w:szCs w:val="32"/>
        </w:rPr>
        <w:t>（项）</w:t>
      </w:r>
      <w:r>
        <w:rPr>
          <w:rFonts w:hint="eastAsia" w:ascii="仿宋_GB2312" w:hAnsi="仿宋_GB2312" w:eastAsia="仿宋_GB2312" w:cs="仿宋_GB2312"/>
          <w:b w:val="0"/>
          <w:bCs w:val="0"/>
          <w:color w:val="000000"/>
          <w:szCs w:val="32"/>
        </w:rPr>
        <w:t>：</w:t>
      </w:r>
      <w:r>
        <w:rPr>
          <w:rFonts w:hint="eastAsia" w:ascii="仿宋_GB2312" w:hAnsi="仿宋_GB2312" w:eastAsia="仿宋_GB2312" w:cs="仿宋_GB2312"/>
          <w:color w:val="000000"/>
          <w:szCs w:val="32"/>
        </w:rPr>
        <w:t>指</w:t>
      </w:r>
      <w:r>
        <w:rPr>
          <w:rFonts w:hint="eastAsia" w:ascii="仿宋_GB2312" w:hAnsi="仿宋_GB2312" w:eastAsia="仿宋_GB2312" w:cs="仿宋_GB2312"/>
          <w:color w:val="000000"/>
          <w:szCs w:val="32"/>
          <w:lang w:eastAsia="zh-CN"/>
        </w:rPr>
        <w:t>机关事业单位实施养老保险制度由单位缴纳的基本养老保险费支出</w:t>
      </w:r>
      <w:r>
        <w:rPr>
          <w:rFonts w:hint="eastAsia" w:ascii="仿宋_GB2312" w:hAnsi="仿宋_GB2312" w:eastAsia="仿宋_GB2312" w:cs="仿宋_GB2312"/>
          <w:color w:val="000000"/>
          <w:szCs w:val="32"/>
        </w:rPr>
        <w:t>。</w:t>
      </w:r>
    </w:p>
    <w:p>
      <w:pPr>
        <w:spacing w:line="600" w:lineRule="atLeast"/>
        <w:ind w:firstLine="640" w:firstLineChars="200"/>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color w:val="000000"/>
          <w:szCs w:val="32"/>
          <w:lang w:val="en-US" w:eastAsia="zh-CN"/>
        </w:rPr>
        <w:t>9</w:t>
      </w:r>
      <w:r>
        <w:rPr>
          <w:rFonts w:hint="eastAsia" w:ascii="仿宋_GB2312" w:hAnsi="仿宋_GB2312" w:eastAsia="仿宋_GB2312" w:cs="仿宋_GB2312"/>
          <w:b w:val="0"/>
          <w:bCs w:val="0"/>
          <w:color w:val="000000"/>
          <w:szCs w:val="32"/>
        </w:rPr>
        <w:t>.</w:t>
      </w:r>
      <w:r>
        <w:rPr>
          <w:rStyle w:val="15"/>
          <w:rFonts w:hint="eastAsia" w:ascii="仿宋_GB2312" w:hAnsi="仿宋_GB2312" w:eastAsia="仿宋_GB2312" w:cs="仿宋_GB2312"/>
          <w:b w:val="0"/>
          <w:bCs w:val="0"/>
          <w:color w:val="000000"/>
          <w:szCs w:val="32"/>
        </w:rPr>
        <w:t>社会保障和就业（类）</w:t>
      </w:r>
      <w:r>
        <w:rPr>
          <w:rFonts w:hint="eastAsia" w:ascii="仿宋_GB2312" w:hAnsi="仿宋_GB2312" w:eastAsia="仿宋_GB2312" w:cs="仿宋_GB2312"/>
          <w:szCs w:val="32"/>
        </w:rPr>
        <w:t>行政事业单位养老支出</w:t>
      </w:r>
      <w:r>
        <w:rPr>
          <w:rStyle w:val="15"/>
          <w:rFonts w:hint="eastAsia" w:ascii="仿宋_GB2312" w:hAnsi="仿宋_GB2312" w:eastAsia="仿宋_GB2312" w:cs="仿宋_GB2312"/>
          <w:b w:val="0"/>
          <w:bCs w:val="0"/>
          <w:color w:val="000000"/>
          <w:szCs w:val="32"/>
        </w:rPr>
        <w:t>（款）</w:t>
      </w:r>
    </w:p>
    <w:p>
      <w:pPr>
        <w:rPr>
          <w:rFonts w:hint="eastAsia" w:ascii="仿宋_GB2312" w:hAnsi="仿宋_GB2312" w:eastAsia="仿宋_GB2312" w:cs="仿宋_GB2312"/>
          <w:color w:val="000000"/>
          <w:szCs w:val="32"/>
        </w:rPr>
      </w:pPr>
      <w:r>
        <w:rPr>
          <w:rFonts w:hint="eastAsia" w:ascii="仿宋_GB2312" w:hAnsi="仿宋_GB2312" w:eastAsia="仿宋_GB2312" w:cs="仿宋_GB2312"/>
          <w:szCs w:val="32"/>
        </w:rPr>
        <w:t>机关事业单位职业年金缴费支出</w:t>
      </w:r>
      <w:r>
        <w:rPr>
          <w:rStyle w:val="15"/>
          <w:rFonts w:hint="eastAsia" w:ascii="仿宋_GB2312" w:hAnsi="仿宋_GB2312" w:eastAsia="仿宋_GB2312" w:cs="仿宋_GB2312"/>
          <w:b w:val="0"/>
          <w:bCs w:val="0"/>
          <w:color w:val="000000"/>
          <w:szCs w:val="32"/>
        </w:rPr>
        <w:t>（项）</w:t>
      </w:r>
      <w:r>
        <w:rPr>
          <w:rFonts w:hint="eastAsia" w:ascii="仿宋_GB2312" w:hAnsi="仿宋_GB2312" w:eastAsia="仿宋_GB2312" w:cs="仿宋_GB2312"/>
          <w:b w:val="0"/>
          <w:bCs w:val="0"/>
          <w:color w:val="000000"/>
          <w:szCs w:val="32"/>
        </w:rPr>
        <w:t>：</w:t>
      </w:r>
      <w:r>
        <w:rPr>
          <w:rFonts w:hint="eastAsia" w:ascii="仿宋_GB2312" w:hAnsi="仿宋_GB2312" w:eastAsia="仿宋_GB2312" w:cs="仿宋_GB2312"/>
          <w:color w:val="000000"/>
          <w:szCs w:val="32"/>
        </w:rPr>
        <w:t>指</w:t>
      </w:r>
      <w:r>
        <w:rPr>
          <w:rFonts w:hint="eastAsia" w:ascii="仿宋_GB2312" w:hAnsi="仿宋_GB2312" w:eastAsia="仿宋_GB2312" w:cs="仿宋_GB2312"/>
          <w:color w:val="000000"/>
          <w:szCs w:val="32"/>
          <w:lang w:eastAsia="zh-CN"/>
        </w:rPr>
        <w:t>机关事业单位实施养老保险制度由单位缴纳的职业年金</w:t>
      </w:r>
      <w:r>
        <w:rPr>
          <w:rFonts w:hint="eastAsia" w:ascii="仿宋_GB2312" w:hAnsi="仿宋_GB2312" w:cs="仿宋_GB2312"/>
          <w:color w:val="000000"/>
          <w:szCs w:val="32"/>
          <w:lang w:eastAsia="zh-CN"/>
        </w:rPr>
        <w:t>费用</w:t>
      </w:r>
      <w:r>
        <w:rPr>
          <w:rFonts w:hint="eastAsia" w:ascii="仿宋_GB2312" w:hAnsi="仿宋_GB2312" w:eastAsia="仿宋_GB2312" w:cs="仿宋_GB2312"/>
          <w:color w:val="000000"/>
          <w:szCs w:val="32"/>
          <w:lang w:eastAsia="zh-CN"/>
        </w:rPr>
        <w:t>支出</w:t>
      </w:r>
      <w:r>
        <w:rPr>
          <w:rFonts w:hint="eastAsia" w:ascii="仿宋_GB2312" w:hAnsi="仿宋_GB2312" w:eastAsia="仿宋_GB2312" w:cs="仿宋_GB2312"/>
          <w:color w:val="000000"/>
          <w:szCs w:val="32"/>
        </w:rPr>
        <w:t>。</w:t>
      </w:r>
    </w:p>
    <w:p>
      <w:pPr>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b w:val="0"/>
          <w:bCs w:val="0"/>
          <w:color w:val="000000"/>
          <w:szCs w:val="32"/>
          <w:lang w:val="en-US" w:eastAsia="zh-CN"/>
        </w:rPr>
        <w:t>10</w:t>
      </w:r>
      <w:r>
        <w:rPr>
          <w:rFonts w:hint="eastAsia" w:ascii="仿宋_GB2312" w:hAnsi="仿宋_GB2312" w:eastAsia="仿宋_GB2312" w:cs="仿宋_GB2312"/>
          <w:b w:val="0"/>
          <w:bCs w:val="0"/>
          <w:color w:val="000000"/>
          <w:szCs w:val="32"/>
        </w:rPr>
        <w:t>.卫生健康</w:t>
      </w:r>
      <w:r>
        <w:rPr>
          <w:rStyle w:val="15"/>
          <w:rFonts w:hint="eastAsia" w:ascii="仿宋_GB2312" w:hAnsi="仿宋_GB2312" w:eastAsia="仿宋_GB2312" w:cs="仿宋_GB2312"/>
          <w:b w:val="0"/>
          <w:bCs w:val="0"/>
          <w:color w:val="000000"/>
          <w:szCs w:val="32"/>
        </w:rPr>
        <w:t>（类）行政事业单位医疗（款）行政事业单位医疗（项）</w:t>
      </w:r>
      <w:r>
        <w:rPr>
          <w:rFonts w:hint="eastAsia" w:ascii="仿宋_GB2312" w:hAnsi="仿宋_GB2312" w:eastAsia="仿宋_GB2312" w:cs="仿宋_GB2312"/>
          <w:b w:val="0"/>
          <w:bCs w:val="0"/>
          <w:color w:val="000000"/>
          <w:szCs w:val="32"/>
        </w:rPr>
        <w:t>：</w:t>
      </w:r>
      <w:r>
        <w:rPr>
          <w:rFonts w:hint="eastAsia" w:ascii="仿宋_GB2312" w:hAnsi="仿宋_GB2312" w:eastAsia="仿宋_GB2312" w:cs="仿宋_GB2312"/>
          <w:color w:val="000000"/>
          <w:szCs w:val="32"/>
        </w:rPr>
        <w:t>指</w:t>
      </w:r>
      <w:r>
        <w:rPr>
          <w:rFonts w:hint="eastAsia" w:ascii="仿宋_GB2312" w:hAnsi="仿宋_GB2312" w:eastAsia="仿宋_GB2312" w:cs="仿宋_GB2312"/>
          <w:color w:val="000000"/>
          <w:szCs w:val="32"/>
          <w:lang w:eastAsia="zh-CN"/>
        </w:rPr>
        <w:t>行政事业单位基本医疗保险缴费经费</w:t>
      </w:r>
      <w:r>
        <w:rPr>
          <w:rFonts w:hint="eastAsia" w:ascii="仿宋_GB2312" w:hAnsi="仿宋_GB2312" w:eastAsia="仿宋_GB2312" w:cs="仿宋_GB2312"/>
          <w:color w:val="000000"/>
          <w:szCs w:val="32"/>
        </w:rPr>
        <w:t>。</w:t>
      </w:r>
    </w:p>
    <w:p>
      <w:pPr>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b w:val="0"/>
          <w:bCs w:val="0"/>
          <w:color w:val="000000"/>
          <w:szCs w:val="32"/>
        </w:rPr>
        <w:t>1</w:t>
      </w:r>
      <w:r>
        <w:rPr>
          <w:rFonts w:hint="eastAsia" w:ascii="仿宋_GB2312" w:hAnsi="仿宋_GB2312" w:eastAsia="仿宋_GB2312" w:cs="仿宋_GB2312"/>
          <w:b w:val="0"/>
          <w:bCs w:val="0"/>
          <w:color w:val="000000"/>
          <w:szCs w:val="32"/>
          <w:lang w:val="en-US" w:eastAsia="zh-CN"/>
        </w:rPr>
        <w:t>1</w:t>
      </w:r>
      <w:r>
        <w:rPr>
          <w:rFonts w:hint="eastAsia" w:ascii="仿宋_GB2312" w:hAnsi="仿宋_GB2312" w:eastAsia="仿宋_GB2312" w:cs="仿宋_GB2312"/>
          <w:b w:val="0"/>
          <w:bCs w:val="0"/>
          <w:color w:val="000000"/>
          <w:szCs w:val="32"/>
        </w:rPr>
        <w:t>.</w:t>
      </w:r>
      <w:r>
        <w:rPr>
          <w:rFonts w:hint="eastAsia" w:ascii="仿宋_GB2312" w:hAnsi="仿宋_GB2312" w:eastAsia="仿宋_GB2312" w:cs="仿宋_GB2312"/>
          <w:b w:val="0"/>
          <w:bCs w:val="0"/>
          <w:color w:val="333333"/>
          <w:szCs w:val="32"/>
        </w:rPr>
        <w:t>住房保障支出（类）</w:t>
      </w:r>
      <w:r>
        <w:rPr>
          <w:rFonts w:hint="eastAsia" w:ascii="仿宋_GB2312" w:hAnsi="仿宋_GB2312" w:eastAsia="仿宋_GB2312" w:cs="仿宋_GB2312"/>
          <w:b w:val="0"/>
          <w:bCs w:val="0"/>
          <w:szCs w:val="32"/>
        </w:rPr>
        <w:t>住房改革支出</w:t>
      </w:r>
      <w:r>
        <w:rPr>
          <w:rFonts w:hint="eastAsia" w:ascii="仿宋_GB2312" w:hAnsi="仿宋_GB2312" w:eastAsia="仿宋_GB2312" w:cs="仿宋_GB2312"/>
          <w:b w:val="0"/>
          <w:bCs w:val="0"/>
          <w:color w:val="333333"/>
          <w:szCs w:val="32"/>
        </w:rPr>
        <w:t>（款）</w:t>
      </w:r>
      <w:r>
        <w:rPr>
          <w:rFonts w:hint="eastAsia" w:ascii="仿宋_GB2312" w:hAnsi="仿宋_GB2312" w:eastAsia="仿宋_GB2312" w:cs="仿宋_GB2312"/>
          <w:b w:val="0"/>
          <w:bCs w:val="0"/>
          <w:szCs w:val="32"/>
        </w:rPr>
        <w:t>住房公积金</w:t>
      </w:r>
      <w:r>
        <w:rPr>
          <w:rFonts w:hint="eastAsia" w:ascii="仿宋_GB2312" w:hAnsi="仿宋_GB2312" w:eastAsia="仿宋_GB2312" w:cs="仿宋_GB2312"/>
          <w:b w:val="0"/>
          <w:bCs w:val="0"/>
          <w:color w:val="333333"/>
          <w:szCs w:val="32"/>
        </w:rPr>
        <w:t>（项）</w:t>
      </w:r>
      <w:r>
        <w:rPr>
          <w:rFonts w:hint="eastAsia" w:ascii="仿宋_GB2312" w:hAnsi="仿宋_GB2312" w:eastAsia="仿宋_GB2312" w:cs="仿宋_GB2312"/>
          <w:b w:val="0"/>
          <w:bCs w:val="0"/>
          <w:color w:val="000000"/>
          <w:szCs w:val="32"/>
        </w:rPr>
        <w:t>：</w:t>
      </w:r>
      <w:r>
        <w:rPr>
          <w:rFonts w:hint="eastAsia" w:ascii="仿宋_GB2312" w:hAnsi="仿宋_GB2312" w:eastAsia="仿宋_GB2312" w:cs="仿宋_GB2312"/>
          <w:color w:val="000000"/>
          <w:szCs w:val="32"/>
        </w:rPr>
        <w:t>指</w:t>
      </w:r>
      <w:r>
        <w:rPr>
          <w:rFonts w:hint="eastAsia" w:ascii="仿宋_GB2312" w:hAnsi="仿宋_GB2312" w:eastAsia="仿宋_GB2312" w:cs="仿宋_GB2312"/>
          <w:color w:val="000000"/>
          <w:szCs w:val="32"/>
          <w:lang w:eastAsia="zh-CN"/>
        </w:rPr>
        <w:t>事业单位按规定的基本工资和津贴补贴及规定比例为职工缴纳的住房公积金</w:t>
      </w:r>
      <w:r>
        <w:rPr>
          <w:rFonts w:hint="eastAsia" w:ascii="仿宋_GB2312" w:hAnsi="仿宋_GB2312" w:eastAsia="仿宋_GB2312" w:cs="仿宋_GB2312"/>
          <w:color w:val="000000"/>
          <w:szCs w:val="32"/>
        </w:rPr>
        <w:t>。</w:t>
      </w:r>
    </w:p>
    <w:p>
      <w:pPr>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lang w:val="en-US" w:eastAsia="zh-CN"/>
        </w:rPr>
        <w:t>12</w:t>
      </w:r>
      <w:r>
        <w:rPr>
          <w:rFonts w:hint="eastAsia" w:ascii="仿宋_GB2312" w:hAnsi="仿宋_GB2312" w:eastAsia="仿宋_GB2312" w:cs="仿宋_GB2312"/>
          <w:color w:val="000000"/>
          <w:szCs w:val="32"/>
        </w:rPr>
        <w:t>.基本支出：指为保障机构正常运转、完成日常工作任务而发生的人员支出和公用支出。</w:t>
      </w:r>
    </w:p>
    <w:p>
      <w:pPr>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lang w:val="en-US" w:eastAsia="zh-CN"/>
        </w:rPr>
        <w:t>13</w:t>
      </w:r>
      <w:r>
        <w:rPr>
          <w:rFonts w:hint="eastAsia" w:ascii="仿宋_GB2312" w:hAnsi="仿宋_GB2312" w:eastAsia="仿宋_GB2312" w:cs="仿宋_GB2312"/>
          <w:color w:val="000000"/>
          <w:szCs w:val="32"/>
        </w:rPr>
        <w:t xml:space="preserve">.项目支出：指在基本支出之外为完成特定行政任务和事业发展目标所发生的支出。 </w:t>
      </w:r>
    </w:p>
    <w:p>
      <w:pPr>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lang w:val="en-US" w:eastAsia="zh-CN"/>
        </w:rPr>
        <w:t>14</w:t>
      </w:r>
      <w:r>
        <w:rPr>
          <w:rFonts w:hint="eastAsia" w:ascii="仿宋_GB2312" w:hAnsi="仿宋_GB2312" w:eastAsia="仿宋_GB2312" w:cs="仿宋_GB2312"/>
          <w:color w:val="000000"/>
          <w:szCs w:val="32"/>
        </w:rPr>
        <w:t>.经营支出：指事业单位在专业业务活动及其辅助活动之外开展非独立核算经营活动发生的支出。</w:t>
      </w:r>
    </w:p>
    <w:p>
      <w:pPr>
        <w:pStyle w:val="2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Fonts w:hint="eastAsia" w:ascii="黑体" w:hAnsi="黑体" w:eastAsia="黑体"/>
          <w:color w:val="000000"/>
          <w:sz w:val="44"/>
          <w:szCs w:val="44"/>
        </w:rPr>
      </w:pPr>
      <w:bookmarkStart w:id="62" w:name="_Toc15396614"/>
      <w:bookmarkStart w:id="63" w:name="_Toc23450"/>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17"/>
          <w:rFonts w:ascii="黑体" w:hAnsi="黑体" w:eastAsia="黑体"/>
          <w:b w:val="0"/>
        </w:rPr>
      </w:pPr>
      <w:r>
        <w:rPr>
          <w:rFonts w:hint="eastAsia" w:ascii="黑体" w:hAnsi="黑体" w:eastAsia="黑体"/>
          <w:color w:val="000000"/>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62"/>
      <w:bookmarkEnd w:id="63"/>
    </w:p>
    <w:p>
      <w:pPr>
        <w:rPr>
          <w:rFonts w:hint="eastAsia" w:ascii="黑体" w:hAnsi="黑体" w:eastAsia="黑体"/>
          <w:color w:val="000000"/>
          <w:sz w:val="44"/>
          <w:szCs w:val="44"/>
        </w:rPr>
      </w:pPr>
      <w:bookmarkStart w:id="64" w:name="_Toc15396618"/>
      <w:bookmarkStart w:id="65" w:name="_Toc3613"/>
    </w:p>
    <w:p>
      <w:pPr>
        <w:rPr>
          <w:rFonts w:hint="eastAsia" w:ascii="黑体" w:hAnsi="黑体" w:eastAsia="黑体"/>
          <w:color w:val="000000"/>
          <w:sz w:val="44"/>
          <w:szCs w:val="44"/>
          <w:lang w:eastAsia="zh-CN"/>
        </w:rPr>
      </w:pPr>
      <w:r>
        <w:rPr>
          <w:rFonts w:hint="eastAsia" w:ascii="黑体" w:hAnsi="黑体" w:eastAsia="黑体"/>
          <w:color w:val="000000"/>
          <w:sz w:val="44"/>
          <w:szCs w:val="44"/>
          <w:lang w:eastAsia="zh-CN"/>
        </w:rPr>
        <w:drawing>
          <wp:inline distT="0" distB="0" distL="114300" distR="114300">
            <wp:extent cx="5681980" cy="7484745"/>
            <wp:effectExtent l="0" t="0" r="13970" b="1905"/>
            <wp:docPr id="1" name="图片 1" descr="5a8a22541aec2a879c398af275090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a8a22541aec2a879c398af2750901c"/>
                    <pic:cNvPicPr>
                      <a:picLocks noChangeAspect="1"/>
                    </pic:cNvPicPr>
                  </pic:nvPicPr>
                  <pic:blipFill>
                    <a:blip r:embed="rId12"/>
                    <a:stretch>
                      <a:fillRect/>
                    </a:stretch>
                  </pic:blipFill>
                  <pic:spPr>
                    <a:xfrm>
                      <a:off x="0" y="0"/>
                      <a:ext cx="5681980" cy="7484745"/>
                    </a:xfrm>
                    <a:prstGeom prst="rect">
                      <a:avLst/>
                    </a:prstGeom>
                  </pic:spPr>
                </pic:pic>
              </a:graphicData>
            </a:graphic>
          </wp:inline>
        </w:drawing>
      </w:r>
    </w:p>
    <w:p>
      <w:pPr>
        <w:pStyle w:val="2"/>
        <w:rPr>
          <w:rFonts w:hint="eastAsia"/>
        </w:rPr>
      </w:pPr>
    </w:p>
    <w:p>
      <w:pPr>
        <w:pStyle w:val="2"/>
        <w:rPr>
          <w:rFonts w:hint="eastAsia" w:ascii="黑体" w:hAnsi="黑体" w:eastAsia="黑体"/>
          <w:color w:val="000000"/>
          <w:sz w:val="44"/>
          <w:szCs w:val="44"/>
          <w:lang w:eastAsia="zh-CN"/>
        </w:rPr>
      </w:pPr>
      <w:r>
        <w:rPr>
          <w:rFonts w:hint="eastAsia" w:ascii="黑体" w:hAnsi="黑体" w:eastAsia="黑体"/>
          <w:color w:val="000000"/>
          <w:sz w:val="44"/>
          <w:szCs w:val="44"/>
          <w:lang w:eastAsia="zh-CN"/>
        </w:rPr>
        <w:drawing>
          <wp:inline distT="0" distB="0" distL="114300" distR="114300">
            <wp:extent cx="5689600" cy="7974330"/>
            <wp:effectExtent l="0" t="0" r="6350" b="7620"/>
            <wp:docPr id="6" name="图片 6" descr="d96acc2172ff3565c175ff3eb9ee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96acc2172ff3565c175ff3eb9ee182"/>
                    <pic:cNvPicPr>
                      <a:picLocks noChangeAspect="1"/>
                    </pic:cNvPicPr>
                  </pic:nvPicPr>
                  <pic:blipFill>
                    <a:blip r:embed="rId13"/>
                    <a:stretch>
                      <a:fillRect/>
                    </a:stretch>
                  </pic:blipFill>
                  <pic:spPr>
                    <a:xfrm>
                      <a:off x="0" y="0"/>
                      <a:ext cx="5689600" cy="7974330"/>
                    </a:xfrm>
                    <a:prstGeom prst="rect">
                      <a:avLst/>
                    </a:prstGeom>
                  </pic:spPr>
                </pic:pic>
              </a:graphicData>
            </a:graphic>
          </wp:inline>
        </w:drawing>
      </w:r>
    </w:p>
    <w:p>
      <w:pPr>
        <w:pStyle w:val="2"/>
        <w:rPr>
          <w:rFonts w:hint="eastAsia" w:ascii="黑体" w:hAnsi="黑体" w:eastAsia="黑体"/>
          <w:color w:val="000000"/>
          <w:sz w:val="44"/>
          <w:szCs w:val="44"/>
          <w:lang w:eastAsia="zh-CN"/>
        </w:rPr>
      </w:pPr>
    </w:p>
    <w:p>
      <w:pPr>
        <w:pStyle w:val="2"/>
        <w:rPr>
          <w:rFonts w:hint="eastAsia" w:ascii="黑体" w:hAnsi="黑体" w:eastAsia="黑体"/>
          <w:color w:val="000000"/>
          <w:sz w:val="44"/>
          <w:szCs w:val="44"/>
          <w:lang w:eastAsia="zh-CN"/>
        </w:rPr>
      </w:pPr>
    </w:p>
    <w:p>
      <w:pPr>
        <w:rPr>
          <w:rFonts w:hint="eastAsia" w:ascii="黑体" w:hAnsi="黑体" w:eastAsia="黑体"/>
          <w:color w:val="000000"/>
          <w:sz w:val="44"/>
          <w:szCs w:val="44"/>
        </w:rPr>
      </w:pPr>
      <w:r>
        <w:rPr>
          <w:rFonts w:hint="eastAsia" w:ascii="黑体" w:hAnsi="黑体" w:eastAsia="黑体"/>
          <w:color w:val="000000"/>
          <w:sz w:val="44"/>
          <w:szCs w:val="44"/>
        </w:rPr>
        <w:drawing>
          <wp:inline distT="0" distB="0" distL="114300" distR="114300">
            <wp:extent cx="5767705" cy="5981700"/>
            <wp:effectExtent l="0" t="0" r="4445" b="0"/>
            <wp:docPr id="7" name="图片 7" descr="2fddda13870c033ebbe470f6bf77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fddda13870c033ebbe470f6bf77266"/>
                    <pic:cNvPicPr>
                      <a:picLocks noChangeAspect="1"/>
                    </pic:cNvPicPr>
                  </pic:nvPicPr>
                  <pic:blipFill>
                    <a:blip r:embed="rId14"/>
                    <a:stretch>
                      <a:fillRect/>
                    </a:stretch>
                  </pic:blipFill>
                  <pic:spPr>
                    <a:xfrm>
                      <a:off x="0" y="0"/>
                      <a:ext cx="5767705" cy="5981700"/>
                    </a:xfrm>
                    <a:prstGeom prst="rect">
                      <a:avLst/>
                    </a:prstGeom>
                  </pic:spPr>
                </pic:pic>
              </a:graphicData>
            </a:graphic>
          </wp:inline>
        </w:drawing>
      </w:r>
      <w:r>
        <w:rPr>
          <w:rFonts w:hint="eastAsia" w:ascii="黑体" w:hAnsi="黑体" w:eastAsia="黑体"/>
          <w:color w:val="000000"/>
          <w:sz w:val="44"/>
          <w:szCs w:val="44"/>
        </w:rPr>
        <w:br w:type="page"/>
      </w:r>
    </w:p>
    <w:p>
      <w:pPr>
        <w:pStyle w:val="2"/>
        <w:rPr>
          <w:rFonts w:hint="eastAsia"/>
        </w:rPr>
      </w:pPr>
    </w:p>
    <w:p>
      <w:pPr>
        <w:spacing w:line="600" w:lineRule="exact"/>
        <w:jc w:val="center"/>
        <w:outlineLvl w:val="0"/>
        <w:rPr>
          <w:rStyle w:val="17"/>
          <w:rFonts w:ascii="黑体" w:hAnsi="黑体" w:eastAsia="黑体"/>
          <w:b w:val="0"/>
        </w:rPr>
      </w:pPr>
      <w:r>
        <w:rPr>
          <w:rFonts w:hint="eastAsia" w:ascii="黑体" w:hAnsi="黑体" w:eastAsia="黑体"/>
          <w:color w:val="000000"/>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61"/>
      <w:bookmarkEnd w:id="64"/>
      <w:bookmarkEnd w:id="65"/>
    </w:p>
    <w:p>
      <w:pPr>
        <w:spacing w:line="600" w:lineRule="exact"/>
        <w:jc w:val="center"/>
        <w:outlineLvl w:val="0"/>
        <w:rPr>
          <w:rFonts w:ascii="仿宋" w:hAnsi="仿宋" w:eastAsia="仿宋"/>
          <w:b/>
          <w:color w:val="000000"/>
          <w:sz w:val="44"/>
          <w:szCs w:val="44"/>
        </w:rPr>
      </w:pPr>
    </w:p>
    <w:p>
      <w:pPr>
        <w:pStyle w:val="4"/>
        <w:rPr>
          <w:rFonts w:ascii="仿宋" w:hAnsi="仿宋" w:eastAsia="仿宋"/>
          <w:color w:val="auto"/>
          <w:highlight w:val="none"/>
        </w:rPr>
      </w:pPr>
      <w:bookmarkStart w:id="66" w:name="_Toc21455"/>
      <w:r>
        <w:rPr>
          <w:rFonts w:hint="eastAsia" w:ascii="仿宋" w:hAnsi="仿宋" w:eastAsia="仿宋"/>
          <w:b w:val="0"/>
          <w:color w:val="auto"/>
          <w:highlight w:val="none"/>
        </w:rPr>
        <w:t>一、收</w:t>
      </w:r>
      <w:r>
        <w:rPr>
          <w:rStyle w:val="21"/>
          <w:rFonts w:hint="eastAsia" w:ascii="仿宋" w:hAnsi="仿宋" w:eastAsia="仿宋"/>
          <w:b w:val="0"/>
          <w:bCs w:val="0"/>
          <w:color w:val="auto"/>
          <w:highlight w:val="none"/>
        </w:rPr>
        <w:t>入支出决算总表</w:t>
      </w:r>
      <w:bookmarkEnd w:id="66"/>
    </w:p>
    <w:p>
      <w:pPr>
        <w:pStyle w:val="4"/>
        <w:rPr>
          <w:rFonts w:ascii="仿宋" w:hAnsi="仿宋" w:eastAsia="仿宋"/>
          <w:color w:val="auto"/>
          <w:highlight w:val="none"/>
        </w:rPr>
      </w:pPr>
      <w:bookmarkStart w:id="67" w:name="_Toc15396620"/>
      <w:bookmarkStart w:id="68" w:name="_Toc19902"/>
      <w:r>
        <w:rPr>
          <w:rFonts w:hint="eastAsia" w:ascii="仿宋" w:hAnsi="仿宋" w:eastAsia="仿宋"/>
          <w:b w:val="0"/>
          <w:color w:val="auto"/>
          <w:highlight w:val="none"/>
        </w:rPr>
        <w:t>二、收</w:t>
      </w:r>
      <w:r>
        <w:rPr>
          <w:rStyle w:val="21"/>
          <w:rFonts w:hint="eastAsia" w:ascii="仿宋" w:hAnsi="仿宋" w:eastAsia="仿宋"/>
          <w:b w:val="0"/>
          <w:bCs w:val="0"/>
          <w:color w:val="auto"/>
          <w:highlight w:val="none"/>
        </w:rPr>
        <w:t>入决算表</w:t>
      </w:r>
      <w:bookmarkEnd w:id="67"/>
      <w:bookmarkEnd w:id="68"/>
    </w:p>
    <w:p>
      <w:pPr>
        <w:pStyle w:val="4"/>
        <w:rPr>
          <w:rFonts w:ascii="仿宋" w:hAnsi="仿宋" w:eastAsia="仿宋"/>
          <w:color w:val="auto"/>
          <w:highlight w:val="none"/>
        </w:rPr>
      </w:pPr>
      <w:bookmarkStart w:id="69" w:name="_Toc15396621"/>
      <w:bookmarkStart w:id="70" w:name="_Toc5842"/>
      <w:r>
        <w:rPr>
          <w:rStyle w:val="21"/>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1"/>
          <w:rFonts w:hint="eastAsia" w:ascii="仿宋" w:hAnsi="仿宋" w:eastAsia="仿宋"/>
          <w:b w:val="0"/>
          <w:bCs w:val="0"/>
          <w:color w:val="auto"/>
          <w:highlight w:val="none"/>
        </w:rPr>
        <w:t>出决算表</w:t>
      </w:r>
      <w:bookmarkEnd w:id="69"/>
      <w:bookmarkEnd w:id="70"/>
    </w:p>
    <w:p>
      <w:pPr>
        <w:pStyle w:val="4"/>
        <w:rPr>
          <w:rFonts w:ascii="仿宋" w:hAnsi="仿宋" w:eastAsia="仿宋"/>
          <w:b w:val="0"/>
          <w:color w:val="auto"/>
          <w:highlight w:val="none"/>
        </w:rPr>
      </w:pPr>
      <w:bookmarkStart w:id="71" w:name="_Toc15396622"/>
      <w:bookmarkStart w:id="72" w:name="_Toc3877"/>
      <w:r>
        <w:rPr>
          <w:rStyle w:val="21"/>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1"/>
          <w:rFonts w:hint="eastAsia" w:ascii="仿宋" w:hAnsi="仿宋" w:eastAsia="仿宋"/>
          <w:b w:val="0"/>
          <w:bCs w:val="0"/>
          <w:color w:val="auto"/>
          <w:highlight w:val="none"/>
        </w:rPr>
        <w:t>政拨款收入支出决算总表</w:t>
      </w:r>
      <w:bookmarkEnd w:id="71"/>
      <w:bookmarkEnd w:id="72"/>
    </w:p>
    <w:p>
      <w:pPr>
        <w:pStyle w:val="4"/>
        <w:rPr>
          <w:rStyle w:val="21"/>
          <w:rFonts w:ascii="仿宋" w:hAnsi="仿宋" w:eastAsia="仿宋"/>
          <w:b w:val="0"/>
          <w:bCs w:val="0"/>
          <w:color w:val="auto"/>
          <w:highlight w:val="none"/>
        </w:rPr>
      </w:pPr>
      <w:bookmarkStart w:id="73" w:name="_Toc15396623"/>
      <w:bookmarkStart w:id="74" w:name="_Toc750"/>
      <w:r>
        <w:rPr>
          <w:rStyle w:val="21"/>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1"/>
          <w:rFonts w:hint="eastAsia" w:ascii="仿宋" w:hAnsi="仿宋" w:eastAsia="仿宋"/>
          <w:b w:val="0"/>
          <w:bCs w:val="0"/>
          <w:color w:val="auto"/>
          <w:highlight w:val="none"/>
        </w:rPr>
        <w:t>政拨款支出决算明细表</w:t>
      </w:r>
      <w:bookmarkEnd w:id="73"/>
      <w:bookmarkEnd w:id="74"/>
      <w:bookmarkStart w:id="75" w:name="_Toc15396624"/>
    </w:p>
    <w:p>
      <w:pPr>
        <w:pStyle w:val="4"/>
        <w:rPr>
          <w:rFonts w:ascii="仿宋" w:hAnsi="仿宋" w:eastAsia="仿宋"/>
          <w:color w:val="auto"/>
          <w:highlight w:val="none"/>
        </w:rPr>
      </w:pPr>
      <w:bookmarkStart w:id="76" w:name="_Toc19194"/>
      <w:r>
        <w:rPr>
          <w:rStyle w:val="21"/>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1"/>
          <w:rFonts w:hint="eastAsia" w:ascii="仿宋" w:hAnsi="仿宋" w:eastAsia="仿宋"/>
          <w:b w:val="0"/>
          <w:bCs w:val="0"/>
          <w:color w:val="auto"/>
          <w:highlight w:val="none"/>
        </w:rPr>
        <w:t>般公共预算财政拨款支出决算表</w:t>
      </w:r>
      <w:bookmarkEnd w:id="75"/>
      <w:bookmarkEnd w:id="76"/>
    </w:p>
    <w:p>
      <w:pPr>
        <w:pStyle w:val="4"/>
        <w:rPr>
          <w:rFonts w:ascii="仿宋" w:hAnsi="仿宋" w:eastAsia="仿宋"/>
          <w:color w:val="auto"/>
          <w:highlight w:val="none"/>
        </w:rPr>
      </w:pPr>
      <w:bookmarkStart w:id="77" w:name="_Toc15396625"/>
      <w:bookmarkStart w:id="78" w:name="_Toc7054"/>
      <w:r>
        <w:rPr>
          <w:rStyle w:val="21"/>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1"/>
          <w:rFonts w:hint="eastAsia" w:ascii="仿宋" w:hAnsi="仿宋" w:eastAsia="仿宋"/>
          <w:b w:val="0"/>
          <w:bCs w:val="0"/>
          <w:color w:val="auto"/>
          <w:highlight w:val="none"/>
        </w:rPr>
        <w:t>般公共预算财政拨款支出决算明细表</w:t>
      </w:r>
      <w:bookmarkEnd w:id="77"/>
      <w:bookmarkEnd w:id="78"/>
    </w:p>
    <w:p>
      <w:pPr>
        <w:pStyle w:val="4"/>
        <w:rPr>
          <w:rFonts w:ascii="仿宋" w:hAnsi="仿宋" w:eastAsia="仿宋"/>
          <w:color w:val="auto"/>
          <w:highlight w:val="none"/>
        </w:rPr>
      </w:pPr>
      <w:bookmarkStart w:id="79" w:name="_Toc15396626"/>
      <w:bookmarkStart w:id="80" w:name="_Toc14041"/>
      <w:r>
        <w:rPr>
          <w:rStyle w:val="21"/>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1"/>
          <w:rFonts w:hint="eastAsia" w:ascii="仿宋" w:hAnsi="仿宋" w:eastAsia="仿宋"/>
          <w:b w:val="0"/>
          <w:bCs w:val="0"/>
          <w:color w:val="auto"/>
          <w:highlight w:val="none"/>
        </w:rPr>
        <w:t>般公共预算财政拨款基本支出决算表</w:t>
      </w:r>
      <w:bookmarkEnd w:id="79"/>
      <w:bookmarkEnd w:id="80"/>
    </w:p>
    <w:p>
      <w:pPr>
        <w:pStyle w:val="4"/>
        <w:rPr>
          <w:rFonts w:ascii="仿宋" w:hAnsi="仿宋" w:eastAsia="仿宋"/>
          <w:color w:val="auto"/>
          <w:highlight w:val="none"/>
        </w:rPr>
      </w:pPr>
      <w:bookmarkStart w:id="81" w:name="_Toc15396627"/>
      <w:bookmarkStart w:id="82" w:name="_Toc26706"/>
      <w:r>
        <w:rPr>
          <w:rStyle w:val="21"/>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1"/>
          <w:rFonts w:hint="eastAsia" w:ascii="仿宋" w:hAnsi="仿宋" w:eastAsia="仿宋"/>
          <w:b w:val="0"/>
          <w:bCs w:val="0"/>
          <w:color w:val="auto"/>
          <w:highlight w:val="none"/>
        </w:rPr>
        <w:t>般公共预算财政拨款项目支出决算表</w:t>
      </w:r>
      <w:bookmarkEnd w:id="81"/>
      <w:bookmarkEnd w:id="82"/>
    </w:p>
    <w:p>
      <w:pPr>
        <w:pStyle w:val="4"/>
        <w:rPr>
          <w:rFonts w:ascii="仿宋" w:hAnsi="仿宋" w:eastAsia="仿宋"/>
          <w:color w:val="auto"/>
          <w:highlight w:val="none"/>
        </w:rPr>
      </w:pPr>
      <w:bookmarkStart w:id="83" w:name="_Toc15396628"/>
      <w:bookmarkStart w:id="84" w:name="_Toc2700"/>
      <w:r>
        <w:rPr>
          <w:rStyle w:val="21"/>
          <w:rFonts w:hint="eastAsia" w:ascii="仿宋" w:hAnsi="仿宋" w:eastAsia="仿宋"/>
          <w:b w:val="0"/>
          <w:bCs w:val="0"/>
          <w:color w:val="auto"/>
          <w:highlight w:val="none"/>
        </w:rPr>
        <w:t>十、</w:t>
      </w:r>
      <w:bookmarkEnd w:id="83"/>
      <w:r>
        <w:rPr>
          <w:rFonts w:hint="eastAsia" w:ascii="仿宋" w:hAnsi="仿宋" w:eastAsia="仿宋"/>
          <w:b w:val="0"/>
          <w:color w:val="auto"/>
          <w:highlight w:val="none"/>
        </w:rPr>
        <w:t>政</w:t>
      </w:r>
      <w:r>
        <w:rPr>
          <w:rStyle w:val="21"/>
          <w:rFonts w:hint="eastAsia" w:ascii="仿宋" w:hAnsi="仿宋" w:eastAsia="仿宋"/>
          <w:b w:val="0"/>
          <w:bCs w:val="0"/>
          <w:color w:val="auto"/>
          <w:highlight w:val="none"/>
        </w:rPr>
        <w:t>府性基金预算财政拨款收入支出决算表</w:t>
      </w:r>
      <w:bookmarkEnd w:id="84"/>
    </w:p>
    <w:p>
      <w:pPr>
        <w:pStyle w:val="4"/>
        <w:rPr>
          <w:rFonts w:ascii="仿宋" w:hAnsi="仿宋" w:eastAsia="仿宋"/>
          <w:color w:val="auto"/>
          <w:highlight w:val="none"/>
        </w:rPr>
      </w:pPr>
      <w:bookmarkStart w:id="85" w:name="_Toc15396629"/>
      <w:bookmarkStart w:id="86" w:name="_Toc32218"/>
      <w:r>
        <w:rPr>
          <w:rStyle w:val="21"/>
          <w:rFonts w:hint="eastAsia" w:ascii="仿宋" w:hAnsi="仿宋" w:eastAsia="仿宋"/>
          <w:b w:val="0"/>
          <w:bCs w:val="0"/>
          <w:color w:val="auto"/>
          <w:highlight w:val="none"/>
        </w:rPr>
        <w:t>十一、</w:t>
      </w:r>
      <w:bookmarkEnd w:id="85"/>
      <w:r>
        <w:rPr>
          <w:rFonts w:hint="eastAsia" w:ascii="仿宋" w:hAnsi="仿宋" w:eastAsia="仿宋"/>
          <w:b w:val="0"/>
          <w:color w:val="auto"/>
          <w:highlight w:val="none"/>
        </w:rPr>
        <w:t>国</w:t>
      </w:r>
      <w:r>
        <w:rPr>
          <w:rStyle w:val="21"/>
          <w:rFonts w:hint="eastAsia" w:ascii="仿宋" w:hAnsi="仿宋" w:eastAsia="仿宋"/>
          <w:b w:val="0"/>
          <w:bCs w:val="0"/>
          <w:color w:val="auto"/>
          <w:highlight w:val="none"/>
        </w:rPr>
        <w:t>有资本经营预算</w:t>
      </w:r>
      <w:r>
        <w:rPr>
          <w:rStyle w:val="21"/>
          <w:rFonts w:hint="eastAsia" w:ascii="仿宋" w:hAnsi="仿宋" w:eastAsia="仿宋"/>
          <w:b w:val="0"/>
          <w:bCs w:val="0"/>
          <w:color w:val="auto"/>
          <w:highlight w:val="none"/>
          <w:lang w:eastAsia="zh-CN"/>
        </w:rPr>
        <w:t>财政拨款收入</w:t>
      </w:r>
      <w:r>
        <w:rPr>
          <w:rStyle w:val="21"/>
          <w:rFonts w:hint="eastAsia" w:ascii="仿宋" w:hAnsi="仿宋" w:eastAsia="仿宋"/>
          <w:b w:val="0"/>
          <w:bCs w:val="0"/>
          <w:color w:val="auto"/>
          <w:highlight w:val="none"/>
        </w:rPr>
        <w:t>支出决算表</w:t>
      </w:r>
      <w:bookmarkEnd w:id="86"/>
    </w:p>
    <w:p>
      <w:pPr>
        <w:pStyle w:val="4"/>
        <w:rPr>
          <w:rFonts w:ascii="仿宋" w:hAnsi="仿宋" w:eastAsia="仿宋"/>
          <w:color w:val="auto"/>
          <w:highlight w:val="none"/>
        </w:rPr>
      </w:pPr>
      <w:bookmarkStart w:id="87" w:name="_Toc15396630"/>
      <w:bookmarkStart w:id="88" w:name="_Toc23596"/>
      <w:r>
        <w:rPr>
          <w:rStyle w:val="21"/>
          <w:rFonts w:hint="eastAsia" w:ascii="仿宋" w:hAnsi="仿宋" w:eastAsia="仿宋"/>
          <w:b w:val="0"/>
          <w:bCs w:val="0"/>
          <w:color w:val="auto"/>
          <w:highlight w:val="none"/>
        </w:rPr>
        <w:t>十二、</w:t>
      </w:r>
      <w:bookmarkEnd w:id="87"/>
      <w:r>
        <w:rPr>
          <w:rStyle w:val="21"/>
          <w:rFonts w:hint="eastAsia" w:ascii="仿宋" w:hAnsi="仿宋" w:eastAsia="仿宋"/>
          <w:b w:val="0"/>
          <w:bCs w:val="0"/>
          <w:color w:val="auto"/>
          <w:highlight w:val="none"/>
          <w:lang w:eastAsia="zh-CN"/>
        </w:rPr>
        <w:t>国有资本经营预算财政拨款支出决算表</w:t>
      </w:r>
      <w:bookmarkEnd w:id="88"/>
    </w:p>
    <w:p>
      <w:pPr>
        <w:pStyle w:val="4"/>
        <w:rPr>
          <w:rFonts w:hint="eastAsia" w:ascii="仿宋" w:hAnsi="仿宋" w:eastAsia="仿宋"/>
          <w:b w:val="0"/>
          <w:color w:val="000000"/>
        </w:rPr>
      </w:pPr>
      <w:bookmarkStart w:id="89" w:name="_Toc15396631"/>
      <w:bookmarkStart w:id="90" w:name="_Toc1521"/>
      <w:r>
        <w:rPr>
          <w:rStyle w:val="21"/>
          <w:rFonts w:hint="eastAsia" w:ascii="仿宋" w:hAnsi="仿宋" w:eastAsia="仿宋"/>
          <w:b w:val="0"/>
          <w:bCs w:val="0"/>
          <w:color w:val="auto"/>
          <w:highlight w:val="none"/>
        </w:rPr>
        <w:t>十三、</w:t>
      </w:r>
      <w:bookmarkEnd w:id="89"/>
      <w:r>
        <w:rPr>
          <w:rStyle w:val="21"/>
          <w:rFonts w:hint="eastAsia" w:ascii="仿宋" w:hAnsi="仿宋" w:eastAsia="仿宋"/>
          <w:b w:val="0"/>
          <w:bCs w:val="0"/>
          <w:color w:val="auto"/>
          <w:highlight w:val="none"/>
          <w:lang w:eastAsia="zh-CN"/>
        </w:rPr>
        <w:t>财政拨款“三公”经费支出决算表</w:t>
      </w:r>
      <w:bookmarkEnd w:id="9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1YmIyZjRlMDI5YTFhOTkxODgwZmU5YzIxYzlmZTMifQ=="/>
  </w:docVars>
  <w:rsids>
    <w:rsidRoot w:val="6504078C"/>
    <w:rsid w:val="052D0237"/>
    <w:rsid w:val="06D96529"/>
    <w:rsid w:val="06DA6CFF"/>
    <w:rsid w:val="0AB9552D"/>
    <w:rsid w:val="0B2C649E"/>
    <w:rsid w:val="0C71695B"/>
    <w:rsid w:val="1AB102B0"/>
    <w:rsid w:val="1ABD19C5"/>
    <w:rsid w:val="1EAD78FA"/>
    <w:rsid w:val="227E5EBD"/>
    <w:rsid w:val="290A0DAD"/>
    <w:rsid w:val="3BA14BA6"/>
    <w:rsid w:val="3E4169FF"/>
    <w:rsid w:val="3F04286A"/>
    <w:rsid w:val="3F5E5FEC"/>
    <w:rsid w:val="3F9A05DB"/>
    <w:rsid w:val="44E516B2"/>
    <w:rsid w:val="47BD0CAB"/>
    <w:rsid w:val="4D583754"/>
    <w:rsid w:val="56774470"/>
    <w:rsid w:val="5794150E"/>
    <w:rsid w:val="5B394EC5"/>
    <w:rsid w:val="5D3E75DF"/>
    <w:rsid w:val="6504078C"/>
    <w:rsid w:val="6B769DA4"/>
    <w:rsid w:val="6C29058E"/>
    <w:rsid w:val="726E3979"/>
    <w:rsid w:val="747D4DEF"/>
    <w:rsid w:val="77843214"/>
    <w:rsid w:val="788E4A9C"/>
    <w:rsid w:val="79B788E9"/>
    <w:rsid w:val="7FEB6C16"/>
    <w:rsid w:val="B7DF065C"/>
    <w:rsid w:val="FEF74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7"/>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1"/>
    <w:autoRedefine/>
    <w:unhideWhenUsed/>
    <w:qFormat/>
    <w:uiPriority w:val="9"/>
    <w:pPr>
      <w:keepNext/>
      <w:keepLines/>
      <w:spacing w:before="260" w:after="260" w:line="416" w:lineRule="auto"/>
      <w:outlineLvl w:val="1"/>
    </w:pPr>
    <w:rPr>
      <w:rFonts w:ascii="Cambria" w:hAnsi="Cambria"/>
      <w:b/>
      <w:bCs/>
      <w:sz w:val="32"/>
      <w:szCs w:val="32"/>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pacing w:beforeLines="30"/>
    </w:pPr>
    <w:rPr>
      <w:rFonts w:ascii="仿宋_GB2312" w:eastAsia="仿宋_GB2312"/>
      <w:kern w:val="0"/>
      <w:sz w:val="24"/>
      <w:szCs w:val="20"/>
    </w:rPr>
  </w:style>
  <w:style w:type="paragraph" w:styleId="5">
    <w:name w:val="index 5"/>
    <w:basedOn w:val="1"/>
    <w:next w:val="1"/>
    <w:autoRedefine/>
    <w:qFormat/>
    <w:uiPriority w:val="0"/>
    <w:pPr>
      <w:ind w:left="1680"/>
    </w:pPr>
  </w:style>
  <w:style w:type="paragraph" w:styleId="6">
    <w:name w:val="Body Text Indent"/>
    <w:basedOn w:val="1"/>
    <w:autoRedefine/>
    <w:qFormat/>
    <w:uiPriority w:val="0"/>
    <w:pPr>
      <w:spacing w:line="560" w:lineRule="exact"/>
      <w:ind w:firstLine="640" w:firstLineChars="200"/>
    </w:pPr>
  </w:style>
  <w:style w:type="paragraph" w:styleId="7">
    <w:name w:val="footer"/>
    <w:basedOn w:val="1"/>
    <w:autoRedefine/>
    <w:qFormat/>
    <w:uiPriority w:val="99"/>
    <w:pPr>
      <w:tabs>
        <w:tab w:val="center" w:pos="4153"/>
        <w:tab w:val="right" w:pos="8306"/>
      </w:tabs>
      <w:snapToGrid w:val="0"/>
      <w:jc w:val="left"/>
    </w:pPr>
    <w:rPr>
      <w:rFonts w:ascii="Calibri" w:hAnsi="Calibri"/>
      <w:kern w:val="0"/>
      <w:sz w:val="18"/>
      <w:szCs w:val="20"/>
    </w:rPr>
  </w:style>
  <w:style w:type="paragraph" w:styleId="8">
    <w:name w:val="header"/>
    <w:basedOn w:val="1"/>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9">
    <w:name w:val="toc 1"/>
    <w:basedOn w:val="1"/>
    <w:next w:val="1"/>
    <w:autoRedefine/>
    <w:unhideWhenUsed/>
    <w:qFormat/>
    <w:uiPriority w:val="39"/>
    <w:pPr>
      <w:spacing w:before="120"/>
      <w:jc w:val="left"/>
    </w:pPr>
    <w:rPr>
      <w:rFonts w:ascii="等线" w:eastAsia="等线"/>
      <w:b/>
      <w:bCs/>
      <w:i/>
      <w:iCs/>
      <w:sz w:val="24"/>
    </w:rPr>
  </w:style>
  <w:style w:type="paragraph" w:styleId="10">
    <w:name w:val="footnote text"/>
    <w:basedOn w:val="1"/>
    <w:next w:val="11"/>
    <w:autoRedefine/>
    <w:qFormat/>
    <w:uiPriority w:val="0"/>
    <w:pPr>
      <w:widowControl w:val="0"/>
      <w:snapToGrid w:val="0"/>
    </w:pPr>
    <w:rPr>
      <w:rFonts w:ascii="Calibri" w:hAnsi="Calibri"/>
      <w:kern w:val="2"/>
      <w:sz w:val="18"/>
      <w:szCs w:val="24"/>
      <w:lang w:val="en-US" w:eastAsia="zh-CN" w:bidi="ar-SA"/>
    </w:rPr>
  </w:style>
  <w:style w:type="paragraph" w:styleId="11">
    <w:name w:val="Body Text First Indent 2"/>
    <w:basedOn w:val="6"/>
    <w:next w:val="5"/>
    <w:autoRedefine/>
    <w:qFormat/>
    <w:uiPriority w:val="0"/>
    <w:pPr>
      <w:spacing w:after="120" w:line="240" w:lineRule="auto"/>
      <w:ind w:left="420" w:leftChars="200" w:firstLine="420"/>
    </w:pPr>
  </w:style>
  <w:style w:type="paragraph" w:styleId="12">
    <w:name w:val="toc 2"/>
    <w:basedOn w:val="1"/>
    <w:next w:val="1"/>
    <w:autoRedefine/>
    <w:unhideWhenUsed/>
    <w:qFormat/>
    <w:uiPriority w:val="39"/>
    <w:pPr>
      <w:spacing w:before="120"/>
      <w:ind w:left="300"/>
      <w:jc w:val="left"/>
    </w:pPr>
    <w:rPr>
      <w:rFonts w:ascii="等线" w:eastAsia="等线"/>
      <w:b/>
      <w:bCs/>
      <w:sz w:val="22"/>
      <w:szCs w:val="22"/>
    </w:rPr>
  </w:style>
  <w:style w:type="character" w:styleId="15">
    <w:name w:val="Strong"/>
    <w:basedOn w:val="14"/>
    <w:autoRedefine/>
    <w:qFormat/>
    <w:uiPriority w:val="99"/>
    <w:rPr>
      <w:rFonts w:cs="Times New Roman"/>
      <w:b/>
    </w:rPr>
  </w:style>
  <w:style w:type="character" w:styleId="16">
    <w:name w:val="Hyperlink"/>
    <w:autoRedefine/>
    <w:unhideWhenUsed/>
    <w:qFormat/>
    <w:uiPriority w:val="99"/>
    <w:rPr>
      <w:color w:val="0000FF"/>
      <w:u w:val="single"/>
    </w:rPr>
  </w:style>
  <w:style w:type="character" w:customStyle="1" w:styleId="17">
    <w:name w:val=" Char Char6"/>
    <w:basedOn w:val="14"/>
    <w:link w:val="3"/>
    <w:qFormat/>
    <w:locked/>
    <w:uiPriority w:val="9"/>
    <w:rPr>
      <w:b/>
      <w:bCs/>
      <w:kern w:val="44"/>
      <w:sz w:val="44"/>
      <w:szCs w:val="44"/>
    </w:rPr>
  </w:style>
  <w:style w:type="character" w:customStyle="1" w:styleId="18">
    <w:name w:val=" Char Char5"/>
    <w:basedOn w:val="14"/>
    <w:link w:val="4"/>
    <w:autoRedefine/>
    <w:qFormat/>
    <w:locked/>
    <w:uiPriority w:val="9"/>
    <w:rPr>
      <w:rFonts w:ascii="Cambria" w:hAnsi="Cambria"/>
      <w:b/>
      <w:bCs/>
      <w:sz w:val="32"/>
      <w:szCs w:val="32"/>
    </w:rPr>
  </w:style>
  <w:style w:type="paragraph" w:customStyle="1" w:styleId="19">
    <w:name w:val="List Paragraph"/>
    <w:basedOn w:val="1"/>
    <w:autoRedefine/>
    <w:qFormat/>
    <w:uiPriority w:val="34"/>
    <w:pPr>
      <w:ind w:firstLine="420" w:firstLineChars="200"/>
    </w:pPr>
  </w:style>
  <w:style w:type="paragraph" w:customStyle="1" w:styleId="20">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1">
    <w:name w:val="标题 2 Char"/>
    <w:basedOn w:val="14"/>
    <w:link w:val="4"/>
    <w:autoRedefine/>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100" b="1" i="0" u="none" strike="noStrike" kern="1200" spc="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p>
      </c:txPr>
    </c:title>
    <c:autoTitleDeleted val="0"/>
    <c:plotArea>
      <c:layout/>
      <c:barChart>
        <c:barDir val="col"/>
        <c:grouping val="clustered"/>
        <c:varyColors val="0"/>
        <c:ser>
          <c:idx val="0"/>
          <c:order val="0"/>
          <c:tx>
            <c:strRef>
              <c:f>Sheet1!$B$1</c:f>
              <c:strCache>
                <c:ptCount val="1"/>
                <c:pt idx="0">
                  <c:v>收、支决算总计变动情况图（单位：万元）</c:v>
                </c:pt>
              </c:strCache>
            </c:strRef>
          </c:tx>
          <c:spPr>
            <a:solidFill>
              <a:schemeClr val="accent1"/>
            </a:solidFill>
            <a:ln>
              <a:noFill/>
            </a:ln>
            <a:effectLst/>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0.00_ </c:formatCode>
                <c:ptCount val="2"/>
                <c:pt idx="0">
                  <c:v>650.95</c:v>
                </c:pt>
                <c:pt idx="1">
                  <c:v>800.7</c:v>
                </c:pt>
              </c:numCache>
            </c:numRef>
          </c:val>
        </c:ser>
        <c:dLbls>
          <c:showLegendKey val="0"/>
          <c:showVal val="1"/>
          <c:showCatName val="0"/>
          <c:showSerName val="0"/>
          <c:showPercent val="0"/>
          <c:showBubbleSize val="0"/>
        </c:dLbls>
        <c:gapWidth val="184"/>
        <c:overlap val="-27"/>
        <c:axId val="769486459"/>
        <c:axId val="619662007"/>
      </c:barChart>
      <c:catAx>
        <c:axId val="769486459"/>
        <c:scaling>
          <c:orientation val="minMax"/>
        </c:scaling>
        <c:delete val="0"/>
        <c:axPos val="b"/>
        <c:majorTickMark val="out"/>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9662007"/>
        <c:crosses val="autoZero"/>
        <c:auto val="1"/>
        <c:lblAlgn val="ctr"/>
        <c:lblOffset val="100"/>
        <c:noMultiLvlLbl val="0"/>
      </c:catAx>
      <c:valAx>
        <c:axId val="619662007"/>
        <c:scaling>
          <c:orientation val="minMax"/>
          <c:min val="300"/>
        </c:scaling>
        <c:delete val="0"/>
        <c:axPos val="l"/>
        <c:majorGridlines>
          <c:spPr>
            <a:ln w="9525" cap="flat" cmpd="sng" algn="ctr">
              <a:solidFill>
                <a:schemeClr val="tx1"/>
              </a:solidFill>
              <a:round/>
            </a:ln>
            <a:effectLst/>
          </c:spPr>
        </c:majorGridlines>
        <c:numFmt formatCode="0.00_ " sourceLinked="1"/>
        <c:majorTickMark val="out"/>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94864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spc="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13"/>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1"/>
              <c:layout>
                <c:manualLayout>
                  <c:x val="-0.00844748020026196"/>
                  <c:y val="-0.011349794850649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52490421455939"/>
                  <c:y val="0.12447698744769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91991969936225"/>
                  <c:y val="0.027414982999979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796934865900383"/>
                  <c:y val="0.076359832635983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136973180076628"/>
                  <c:y val="0.11262203626220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768548100816471"/>
                  <c:y val="0.055573505654281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strCache>
            </c:strRef>
          </c:cat>
          <c:val>
            <c:numRef>
              <c:f>Sheet1!$B$2:$B$8</c:f>
              <c:numCache>
                <c:formatCode>0%</c:formatCode>
                <c:ptCount val="7"/>
                <c:pt idx="0">
                  <c:v>1</c:v>
                </c:pt>
                <c:pt idx="1">
                  <c:v>0</c:v>
                </c:pt>
                <c:pt idx="2">
                  <c:v>0</c:v>
                </c:pt>
                <c:pt idx="3">
                  <c:v>0</c:v>
                </c:pt>
                <c:pt idx="4">
                  <c:v>0</c:v>
                </c:pt>
                <c:pt idx="5">
                  <c:v>0</c:v>
                </c:pt>
                <c:pt idx="6">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7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7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7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7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700" b="0" i="0" u="none" strike="noStrike" kern="1200" baseline="0">
                <a:solidFill>
                  <a:schemeClr val="tx1"/>
                </a:solidFill>
                <a:latin typeface="+mn-lt"/>
                <a:ea typeface="+mn-ea"/>
                <a:cs typeface="+mn-cs"/>
              </a:defRPr>
            </a:pPr>
          </a:p>
        </c:txPr>
      </c:legendEntry>
      <c:legendEntry>
        <c:idx val="5"/>
        <c:txPr>
          <a:bodyPr rot="0" spcFirstLastPara="0" vertOverflow="ellipsis" vert="horz" wrap="square" anchor="ctr" anchorCtr="1"/>
          <a:lstStyle/>
          <a:p>
            <a:pPr>
              <a:defRPr lang="zh-CN" sz="700" b="0" i="0" u="none" strike="noStrike" kern="1200" baseline="0">
                <a:solidFill>
                  <a:schemeClr val="tx1"/>
                </a:solidFill>
                <a:latin typeface="+mn-lt"/>
                <a:ea typeface="+mn-ea"/>
                <a:cs typeface="+mn-cs"/>
              </a:defRPr>
            </a:pPr>
          </a:p>
        </c:txPr>
      </c:legendEntry>
      <c:layout>
        <c:manualLayout>
          <c:xMode val="edge"/>
          <c:yMode val="edge"/>
          <c:x val="0.559003831417625"/>
          <c:y val="0.302649930264993"/>
          <c:w val="0.418007662835249"/>
          <c:h val="0.619595536959554"/>
        </c:manualLayout>
      </c:layout>
      <c:overlay val="0"/>
      <c:spPr>
        <a:noFill/>
        <a:ln>
          <a:noFill/>
        </a:ln>
        <a:effectLst/>
      </c:spPr>
      <c:txPr>
        <a:bodyPr rot="0" spcFirstLastPara="0" vertOverflow="ellipsis" vert="horz" wrap="square" anchor="ctr" anchorCtr="1"/>
        <a:lstStyle/>
        <a:p>
          <a:pPr>
            <a:defRPr lang="zh-CN" sz="7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97126436781609"/>
          <c:y val="0.0418410041841004"/>
        </c:manualLayout>
      </c:layout>
      <c:overlay val="0"/>
      <c:spPr>
        <a:noFill/>
        <a:ln>
          <a:noFill/>
        </a:ln>
        <a:effectLst/>
      </c:spPr>
      <c:txPr>
        <a:bodyPr rot="0" spcFirstLastPara="0" vertOverflow="ellipsis" vert="horz" wrap="square" anchor="ctr" anchorCtr="1"/>
        <a:lstStyle/>
        <a:p>
          <a:pPr>
            <a:defRPr lang="zh-CN" sz="1400" b="1" i="0" u="none" strike="noStrike" kern="1200" spc="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13"/>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0.3232</c:v>
                </c:pt>
                <c:pt idx="1">
                  <c:v>0.6768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747318007662835"/>
          <c:y val="0.325662482566248"/>
          <c:w val="0.194252873563218"/>
          <c:h val="0.279986052998605"/>
        </c:manualLayout>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100" b="1" i="0" u="none" strike="noStrike" kern="1200" spc="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p>
      </c:txPr>
    </c:title>
    <c:autoTitleDeleted val="0"/>
    <c:plotArea>
      <c:layout/>
      <c:barChart>
        <c:barDir val="col"/>
        <c:grouping val="clustered"/>
        <c:varyColors val="0"/>
        <c:ser>
          <c:idx val="0"/>
          <c:order val="0"/>
          <c:tx>
            <c:strRef>
              <c:f>Sheet1!$B$1</c:f>
              <c:strCache>
                <c:ptCount val="1"/>
                <c:pt idx="0">
                  <c:v>财政拨款收、支决算总计变动情况（单位：万元）</c:v>
                </c:pt>
              </c:strCache>
            </c:strRef>
          </c:tx>
          <c:spPr>
            <a:solidFill>
              <a:schemeClr val="accent1"/>
            </a:solidFill>
            <a:ln>
              <a:noFill/>
            </a:ln>
            <a:effectLst/>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0.00_ </c:formatCode>
                <c:ptCount val="2"/>
                <c:pt idx="0">
                  <c:v>650.95</c:v>
                </c:pt>
                <c:pt idx="1">
                  <c:v>800.7</c:v>
                </c:pt>
              </c:numCache>
            </c:numRef>
          </c:val>
        </c:ser>
        <c:dLbls>
          <c:showLegendKey val="0"/>
          <c:showVal val="1"/>
          <c:showCatName val="0"/>
          <c:showSerName val="0"/>
          <c:showPercent val="0"/>
          <c:showBubbleSize val="0"/>
        </c:dLbls>
        <c:gapWidth val="219"/>
        <c:overlap val="-27"/>
        <c:axId val="769486459"/>
        <c:axId val="619662007"/>
      </c:barChart>
      <c:catAx>
        <c:axId val="769486459"/>
        <c:scaling>
          <c:orientation val="minMax"/>
        </c:scaling>
        <c:delete val="0"/>
        <c:axPos val="b"/>
        <c:majorTickMark val="out"/>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9662007"/>
        <c:crosses val="autoZero"/>
        <c:auto val="1"/>
        <c:lblAlgn val="ctr"/>
        <c:lblOffset val="100"/>
        <c:noMultiLvlLbl val="0"/>
      </c:catAx>
      <c:valAx>
        <c:axId val="619662007"/>
        <c:scaling>
          <c:orientation val="minMax"/>
          <c:min val="300"/>
        </c:scaling>
        <c:delete val="0"/>
        <c:axPos val="l"/>
        <c:majorGridlines>
          <c:spPr>
            <a:ln w="9525" cap="flat" cmpd="sng" algn="ctr">
              <a:solidFill>
                <a:schemeClr val="tx1"/>
              </a:solidFill>
              <a:round/>
            </a:ln>
            <a:effectLst/>
          </c:spPr>
        </c:majorGridlines>
        <c:numFmt formatCode="0.00_ " sourceLinked="1"/>
        <c:majorTickMark val="out"/>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94864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0"/>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100" b="1" i="0" u="none" strike="noStrike" kern="1200" spc="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t>一般公共预算财政拨款支出决算变动情况</a:t>
            </a:r>
          </a:p>
          <a:p>
            <a:pPr defTabSz="914400">
              <a:defRPr lang="zh-CN" sz="1100" b="1" i="0" u="none" strike="noStrike" kern="1200" spc="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t>（单位：万元）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一般公共预算财政拨款支出决算变动情况（单位：万元）</c:v>
                </c:pt>
              </c:strCache>
            </c:strRef>
          </c:tx>
          <c:spPr>
            <a:solidFill>
              <a:schemeClr val="accent1"/>
            </a:solidFill>
            <a:ln>
              <a:noFill/>
            </a:ln>
            <a:effectLst/>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0.00_ </c:formatCode>
                <c:ptCount val="2"/>
                <c:pt idx="0">
                  <c:v>650.95</c:v>
                </c:pt>
                <c:pt idx="1">
                  <c:v>800.7</c:v>
                </c:pt>
              </c:numCache>
            </c:numRef>
          </c:val>
        </c:ser>
        <c:dLbls>
          <c:showLegendKey val="0"/>
          <c:showVal val="1"/>
          <c:showCatName val="0"/>
          <c:showSerName val="0"/>
          <c:showPercent val="0"/>
          <c:showBubbleSize val="0"/>
        </c:dLbls>
        <c:gapWidth val="219"/>
        <c:overlap val="-27"/>
        <c:axId val="769486459"/>
        <c:axId val="619662007"/>
      </c:barChart>
      <c:catAx>
        <c:axId val="769486459"/>
        <c:scaling>
          <c:orientation val="minMax"/>
        </c:scaling>
        <c:delete val="0"/>
        <c:axPos val="b"/>
        <c:majorTickMark val="out"/>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9662007"/>
        <c:crosses val="autoZero"/>
        <c:auto val="1"/>
        <c:lblAlgn val="ctr"/>
        <c:lblOffset val="100"/>
        <c:noMultiLvlLbl val="0"/>
      </c:catAx>
      <c:valAx>
        <c:axId val="619662007"/>
        <c:scaling>
          <c:orientation val="minMax"/>
          <c:min val="300"/>
        </c:scaling>
        <c:delete val="0"/>
        <c:axPos val="l"/>
        <c:majorGridlines>
          <c:spPr>
            <a:ln w="9525" cap="flat" cmpd="sng" algn="ctr">
              <a:solidFill>
                <a:schemeClr val="tx1"/>
              </a:solidFill>
              <a:round/>
            </a:ln>
            <a:effectLst/>
          </c:spPr>
        </c:majorGridlines>
        <c:numFmt formatCode="0.00_ " sourceLinked="1"/>
        <c:majorTickMark val="out"/>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94864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0"/>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97126436781609"/>
          <c:y val="0.0418410041841004"/>
        </c:manualLayout>
      </c:layout>
      <c:overlay val="0"/>
      <c:spPr>
        <a:noFill/>
        <a:ln>
          <a:noFill/>
        </a:ln>
        <a:effectLst/>
      </c:spPr>
      <c:txPr>
        <a:bodyPr rot="0" spcFirstLastPara="0" vertOverflow="ellipsis" vert="horz" wrap="square" anchor="ctr" anchorCtr="1"/>
        <a:lstStyle/>
        <a:p>
          <a:pPr>
            <a:defRPr lang="zh-CN" sz="1400" b="1" i="0" u="none" strike="noStrike" kern="1200" spc="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13"/>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37598151919623"/>
                  <c:y val="-0.14238192647976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811743998240188"/>
                  <c:y val="0.094623696025744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365999791776717"/>
                  <c:y val="-0.011254268763347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678591319230095"/>
                  <c:y val="0.013858310951995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0.00%</c:formatCode>
                <c:ptCount val="4"/>
                <c:pt idx="0">
                  <c:v>0.9124</c:v>
                </c:pt>
                <c:pt idx="1">
                  <c:v>0.0463</c:v>
                </c:pt>
                <c:pt idx="2">
                  <c:v>0.0174</c:v>
                </c:pt>
                <c:pt idx="3">
                  <c:v>0.0239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5626</Words>
  <Characters>6064</Characters>
  <Lines>0</Lines>
  <Paragraphs>0</Paragraphs>
  <TotalTime>40</TotalTime>
  <ScaleCrop>false</ScaleCrop>
  <LinksUpToDate>false</LinksUpToDate>
  <CharactersWithSpaces>6120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2021-09-10T03:29:00Z</dcterms:created>
  <dc:creator>Administrator</dc:creator>
  <cp:lastModifiedBy>8237477087</cp:lastModifiedBy>
  <cp:lastPrinted>2024-10-17T11:09:00Z</cp:lastPrinted>
  <dcterms:modified xsi:type="dcterms:W3CDTF">2024-10-18T10:09:15Z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AD572CED77974D8E8408BD5F759D5159</vt:lpwstr>
  </property>
</Properties>
</file>